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AB8B" w14:textId="6F92CE2C" w:rsidR="00213032" w:rsidRPr="00781F53" w:rsidRDefault="00880D43" w:rsidP="00781F53">
      <w:pPr>
        <w:spacing w:before="100" w:beforeAutospacing="1" w:after="240" w:line="276" w:lineRule="auto"/>
        <w:ind w:left="-709"/>
        <w:jc w:val="right"/>
        <w:rPr>
          <w:rFonts w:ascii="Arial" w:hAnsi="Arial" w:cs="Arial"/>
          <w:color w:val="404040"/>
          <w:sz w:val="20"/>
          <w:szCs w:val="20"/>
          <w:lang w:val="pt-PT"/>
        </w:rPr>
      </w:pPr>
      <w:r w:rsidRPr="00781F53">
        <w:rPr>
          <w:rFonts w:ascii="Arial" w:hAnsi="Arial" w:cs="Arial"/>
          <w:b/>
          <w:bCs/>
          <w:color w:val="404040"/>
          <w:sz w:val="20"/>
          <w:szCs w:val="20"/>
          <w:lang w:val="pt-PT"/>
        </w:rPr>
        <w:t>PRESS RELEASE</w:t>
      </w:r>
      <w:r w:rsidRPr="00781F53">
        <w:rPr>
          <w:rFonts w:ascii="Arial" w:hAnsi="Arial" w:cs="Arial"/>
          <w:b/>
          <w:bCs/>
          <w:color w:val="404040"/>
          <w:sz w:val="20"/>
          <w:szCs w:val="20"/>
          <w:lang w:val="pt-PT"/>
        </w:rPr>
        <w:br/>
      </w:r>
      <w:r w:rsidRPr="00781F53">
        <w:rPr>
          <w:rFonts w:ascii="Arial" w:hAnsi="Arial" w:cs="Arial"/>
          <w:color w:val="404040"/>
          <w:sz w:val="20"/>
          <w:szCs w:val="20"/>
          <w:lang w:val="pt-PT"/>
        </w:rPr>
        <w:t xml:space="preserve">31 </w:t>
      </w:r>
      <w:r w:rsidR="00C57638" w:rsidRPr="00781F53">
        <w:rPr>
          <w:rFonts w:ascii="Arial" w:hAnsi="Arial" w:cs="Arial"/>
          <w:color w:val="404040"/>
          <w:sz w:val="20"/>
          <w:szCs w:val="20"/>
          <w:lang w:val="pt-PT"/>
        </w:rPr>
        <w:t>de março de</w:t>
      </w:r>
      <w:r w:rsidRPr="00781F53">
        <w:rPr>
          <w:rFonts w:ascii="Arial" w:hAnsi="Arial" w:cs="Arial"/>
          <w:color w:val="404040"/>
          <w:sz w:val="20"/>
          <w:szCs w:val="20"/>
          <w:lang w:val="pt-PT"/>
        </w:rPr>
        <w:t xml:space="preserve"> 2022</w:t>
      </w:r>
    </w:p>
    <w:p w14:paraId="669EFB55" w14:textId="77777777" w:rsidR="00310590" w:rsidRPr="00781F53" w:rsidRDefault="00310590" w:rsidP="00310590">
      <w:pPr>
        <w:spacing w:before="100" w:beforeAutospacing="1" w:after="240" w:line="276" w:lineRule="auto"/>
        <w:jc w:val="both"/>
        <w:rPr>
          <w:rFonts w:ascii="Arial" w:hAnsi="Arial" w:cs="Arial"/>
          <w:b/>
          <w:color w:val="404040"/>
          <w:sz w:val="28"/>
          <w:szCs w:val="28"/>
          <w:lang w:val="pt-PT"/>
        </w:rPr>
      </w:pPr>
      <w:r w:rsidRPr="00781F53">
        <w:rPr>
          <w:rFonts w:ascii="Arial" w:hAnsi="Arial" w:cs="Arial"/>
          <w:b/>
          <w:color w:val="404040" w:themeColor="text1" w:themeTint="BF"/>
          <w:sz w:val="28"/>
          <w:szCs w:val="28"/>
          <w:lang w:val="pt-PT"/>
        </w:rPr>
        <w:t xml:space="preserve">A </w:t>
      </w:r>
      <w:proofErr w:type="spellStart"/>
      <w:r w:rsidRPr="00781F53">
        <w:rPr>
          <w:rFonts w:ascii="Arial" w:hAnsi="Arial" w:cs="Arial"/>
          <w:b/>
          <w:color w:val="404040" w:themeColor="text1" w:themeTint="BF"/>
          <w:sz w:val="28"/>
          <w:szCs w:val="28"/>
          <w:lang w:val="pt-PT"/>
        </w:rPr>
        <w:t>InPost</w:t>
      </w:r>
      <w:proofErr w:type="spellEnd"/>
      <w:r w:rsidRPr="00781F53">
        <w:rPr>
          <w:rFonts w:ascii="Arial" w:hAnsi="Arial" w:cs="Arial"/>
          <w:b/>
          <w:color w:val="404040" w:themeColor="text1" w:themeTint="BF"/>
          <w:sz w:val="28"/>
          <w:szCs w:val="28"/>
          <w:lang w:val="pt-PT"/>
        </w:rPr>
        <w:t xml:space="preserve"> S.A. publica os resultados </w:t>
      </w:r>
      <w:proofErr w:type="gramStart"/>
      <w:r w:rsidRPr="00781F53">
        <w:rPr>
          <w:rFonts w:ascii="Arial" w:hAnsi="Arial" w:cs="Arial"/>
          <w:b/>
          <w:color w:val="404040" w:themeColor="text1" w:themeTint="BF"/>
          <w:sz w:val="28"/>
          <w:szCs w:val="28"/>
          <w:lang w:val="pt-PT"/>
        </w:rPr>
        <w:t>do quatro trimestre</w:t>
      </w:r>
      <w:proofErr w:type="gramEnd"/>
      <w:r w:rsidRPr="00781F53">
        <w:rPr>
          <w:rFonts w:ascii="Arial" w:hAnsi="Arial" w:cs="Arial"/>
          <w:b/>
          <w:color w:val="404040" w:themeColor="text1" w:themeTint="BF"/>
          <w:sz w:val="28"/>
          <w:szCs w:val="28"/>
          <w:lang w:val="pt-PT"/>
        </w:rPr>
        <w:t xml:space="preserve"> de 2021, os resultados financeiros consolidados e o Relatório Integrado Anual</w:t>
      </w:r>
      <w:r w:rsidRPr="00781F53">
        <w:rPr>
          <w:rFonts w:ascii="Arial" w:hAnsi="Arial" w:cs="Arial"/>
          <w:b/>
          <w:bCs/>
          <w:color w:val="404040" w:themeColor="text1" w:themeTint="BF"/>
          <w:sz w:val="28"/>
          <w:szCs w:val="28"/>
          <w:lang w:val="pt-PT"/>
        </w:rPr>
        <w:t>.</w:t>
      </w:r>
    </w:p>
    <w:p w14:paraId="7C1CD8BF" w14:textId="6617A369" w:rsidR="00310590" w:rsidRPr="00781F53" w:rsidRDefault="00310590" w:rsidP="00310590">
      <w:pPr>
        <w:spacing w:before="100" w:beforeAutospacing="1" w:after="240" w:line="276" w:lineRule="auto"/>
        <w:jc w:val="both"/>
        <w:rPr>
          <w:rFonts w:ascii="Arial" w:hAnsi="Arial" w:cs="Arial"/>
          <w:b/>
          <w:bCs/>
          <w:color w:val="404040"/>
          <w:lang w:val="pt-PT"/>
        </w:rPr>
      </w:pPr>
      <w:r w:rsidRPr="00781F53">
        <w:rPr>
          <w:rFonts w:ascii="Arial" w:hAnsi="Arial" w:cs="Arial"/>
          <w:b/>
          <w:bCs/>
          <w:color w:val="404040"/>
          <w:lang w:val="pt-PT"/>
        </w:rPr>
        <w:t xml:space="preserve">O Grupo </w:t>
      </w:r>
      <w:proofErr w:type="spellStart"/>
      <w:r w:rsidRPr="00781F53">
        <w:rPr>
          <w:rFonts w:ascii="Arial" w:hAnsi="Arial" w:cs="Arial"/>
          <w:b/>
          <w:bCs/>
          <w:color w:val="404040"/>
          <w:lang w:val="pt-PT"/>
        </w:rPr>
        <w:t>InPost</w:t>
      </w:r>
      <w:proofErr w:type="spellEnd"/>
      <w:r w:rsidRPr="00781F53">
        <w:rPr>
          <w:rFonts w:ascii="Arial" w:hAnsi="Arial" w:cs="Arial"/>
          <w:b/>
          <w:bCs/>
          <w:color w:val="404040"/>
          <w:lang w:val="pt-PT"/>
        </w:rPr>
        <w:t xml:space="preserve"> obteve um forte desempenho financeiro a despeito das condições de mercado adversas. Em 2021, melhorou a sua quota de mercado e as margens na Polónia e continuou a avançar com a sua estratégia de automatizar as entregas </w:t>
      </w:r>
      <w:r w:rsidR="00A34182">
        <w:rPr>
          <w:rFonts w:ascii="Arial" w:hAnsi="Arial" w:cs="Arial"/>
          <w:b/>
          <w:bCs/>
          <w:color w:val="404040"/>
          <w:lang w:val="pt-PT"/>
        </w:rPr>
        <w:t xml:space="preserve">de </w:t>
      </w:r>
      <w:r w:rsidRPr="00781F53">
        <w:rPr>
          <w:rFonts w:ascii="Arial" w:hAnsi="Arial" w:cs="Arial"/>
          <w:b/>
          <w:bCs/>
          <w:color w:val="404040"/>
          <w:lang w:val="pt-PT"/>
        </w:rPr>
        <w:t>“</w:t>
      </w:r>
      <w:r w:rsidR="00A34182">
        <w:rPr>
          <w:rFonts w:ascii="Arial" w:hAnsi="Arial" w:cs="Arial"/>
          <w:b/>
          <w:bCs/>
          <w:color w:val="404040"/>
          <w:lang w:val="pt-PT"/>
        </w:rPr>
        <w:t>última milha</w:t>
      </w:r>
      <w:r w:rsidRPr="00781F53">
        <w:rPr>
          <w:rFonts w:ascii="Arial" w:hAnsi="Arial" w:cs="Arial"/>
          <w:b/>
          <w:bCs/>
          <w:color w:val="404040"/>
          <w:lang w:val="pt-PT"/>
        </w:rPr>
        <w:t>” na Europa com a aquisição da Mondial Relay.</w:t>
      </w:r>
    </w:p>
    <w:p w14:paraId="79B414AA" w14:textId="22FFBC99" w:rsidR="00310590" w:rsidRPr="00781F53" w:rsidRDefault="00310590" w:rsidP="00310590">
      <w:pPr>
        <w:spacing w:before="100" w:beforeAutospacing="1" w:after="240" w:line="276" w:lineRule="auto"/>
        <w:ind w:right="-425"/>
        <w:rPr>
          <w:rFonts w:ascii="Arial" w:hAnsi="Arial" w:cs="Arial"/>
          <w:b/>
          <w:bCs/>
          <w:color w:val="404040"/>
          <w:lang w:val="pt-PT"/>
        </w:rPr>
      </w:pPr>
      <w:r w:rsidRPr="00781F53">
        <w:rPr>
          <w:rFonts w:ascii="Arial" w:hAnsi="Arial" w:cs="Arial"/>
          <w:b/>
          <w:bCs/>
          <w:color w:val="404040"/>
          <w:lang w:val="pt-PT"/>
        </w:rPr>
        <w:t>A empresa acelerou investimentos na instalação de ‘</w:t>
      </w:r>
      <w:proofErr w:type="spellStart"/>
      <w:r w:rsidRPr="00781F53">
        <w:rPr>
          <w:rFonts w:ascii="Arial" w:hAnsi="Arial" w:cs="Arial"/>
          <w:b/>
          <w:bCs/>
          <w:color w:val="404040"/>
          <w:lang w:val="pt-PT"/>
        </w:rPr>
        <w:t>lockers</w:t>
      </w:r>
      <w:proofErr w:type="spellEnd"/>
      <w:r w:rsidRPr="00781F53">
        <w:rPr>
          <w:rFonts w:ascii="Arial" w:hAnsi="Arial" w:cs="Arial"/>
          <w:b/>
          <w:bCs/>
          <w:color w:val="404040"/>
          <w:lang w:val="pt-PT"/>
        </w:rPr>
        <w:t>’</w:t>
      </w:r>
      <w:r w:rsidR="001B506A">
        <w:rPr>
          <w:rFonts w:ascii="Arial" w:hAnsi="Arial" w:cs="Arial"/>
          <w:b/>
          <w:bCs/>
          <w:color w:val="404040"/>
          <w:lang w:val="pt-PT"/>
        </w:rPr>
        <w:t xml:space="preserve"> (cacifos)</w:t>
      </w:r>
      <w:r w:rsidRPr="00781F53">
        <w:rPr>
          <w:rFonts w:ascii="Arial" w:hAnsi="Arial" w:cs="Arial"/>
          <w:b/>
          <w:bCs/>
          <w:color w:val="404040"/>
          <w:lang w:val="pt-PT"/>
        </w:rPr>
        <w:t xml:space="preserve"> de forma a melhorar a proximidade e a conveniência, satisfação e maior intensidade de utilização e dos consumidores. Esta estratégia melhorou os rácios de crescimento para os parceiros de negócio, atuais e futuros, da </w:t>
      </w:r>
      <w:proofErr w:type="spellStart"/>
      <w:r w:rsidRPr="00781F53">
        <w:rPr>
          <w:rFonts w:ascii="Arial" w:hAnsi="Arial" w:cs="Arial"/>
          <w:b/>
          <w:bCs/>
          <w:color w:val="404040"/>
          <w:lang w:val="pt-PT"/>
        </w:rPr>
        <w:t>InPost</w:t>
      </w:r>
      <w:proofErr w:type="spellEnd"/>
      <w:r w:rsidRPr="00781F53">
        <w:rPr>
          <w:rFonts w:ascii="Arial" w:hAnsi="Arial" w:cs="Arial"/>
          <w:b/>
          <w:bCs/>
          <w:color w:val="404040"/>
          <w:lang w:val="pt-PT"/>
        </w:rPr>
        <w:t>. O resultado foi um crescimento de 45,6% no volume de encomendas em 2021.</w:t>
      </w:r>
    </w:p>
    <w:p w14:paraId="0C89B293" w14:textId="77777777" w:rsidR="00310590" w:rsidRPr="00781F53" w:rsidRDefault="00310590" w:rsidP="00310590">
      <w:pPr>
        <w:spacing w:after="60" w:line="276" w:lineRule="auto"/>
        <w:ind w:right="-425"/>
        <w:rPr>
          <w:rFonts w:ascii="Arial" w:hAnsi="Arial" w:cs="Arial"/>
          <w:b/>
          <w:color w:val="404040" w:themeColor="text1" w:themeTint="BF"/>
          <w:lang w:val="pt-PT"/>
        </w:rPr>
      </w:pPr>
      <w:r w:rsidRPr="00781F53">
        <w:rPr>
          <w:rFonts w:ascii="Arial" w:hAnsi="Arial" w:cs="Arial"/>
          <w:b/>
          <w:color w:val="404040" w:themeColor="text1" w:themeTint="BF"/>
          <w:lang w:val="pt-PT"/>
        </w:rPr>
        <w:t>DESTAQUES do Ano Fiscal de 2021</w:t>
      </w:r>
    </w:p>
    <w:p w14:paraId="19946BC6" w14:textId="0DAFBAE3"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 xml:space="preserve">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concluiu a aquisição da Mondial Relay em 1 </w:t>
      </w:r>
      <w:r>
        <w:rPr>
          <w:rFonts w:ascii="Arial" w:hAnsi="Arial" w:cs="Arial"/>
          <w:color w:val="404040" w:themeColor="text1" w:themeTint="BF"/>
          <w:lang w:val="pt-PT"/>
        </w:rPr>
        <w:t>de j</w:t>
      </w:r>
      <w:r w:rsidRPr="00781F53">
        <w:rPr>
          <w:rFonts w:ascii="Arial" w:hAnsi="Arial" w:cs="Arial"/>
          <w:color w:val="404040" w:themeColor="text1" w:themeTint="BF"/>
          <w:lang w:val="pt-PT"/>
        </w:rPr>
        <w:t xml:space="preserve">ulho. Isto tornou 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na maior solução europeia de entregas “</w:t>
      </w:r>
      <w:proofErr w:type="spellStart"/>
      <w:r w:rsidRPr="00781F53">
        <w:rPr>
          <w:rFonts w:ascii="Arial" w:hAnsi="Arial" w:cs="Arial"/>
          <w:color w:val="404040" w:themeColor="text1" w:themeTint="BF"/>
          <w:lang w:val="pt-PT"/>
        </w:rPr>
        <w:t>out-of-home</w:t>
      </w:r>
      <w:proofErr w:type="spellEnd"/>
      <w:r w:rsidRPr="00781F53">
        <w:rPr>
          <w:rFonts w:ascii="Arial" w:hAnsi="Arial" w:cs="Arial"/>
          <w:color w:val="404040" w:themeColor="text1" w:themeTint="BF"/>
          <w:lang w:val="pt-PT"/>
        </w:rPr>
        <w:t xml:space="preserve">” para comércio eletrónico com 609 milhões de encomendas </w:t>
      </w:r>
      <w:proofErr w:type="spellStart"/>
      <w:r w:rsidRPr="00781F53">
        <w:rPr>
          <w:rFonts w:ascii="Arial" w:hAnsi="Arial" w:cs="Arial"/>
          <w:color w:val="404040" w:themeColor="text1" w:themeTint="BF"/>
          <w:lang w:val="pt-PT"/>
        </w:rPr>
        <w:t>pr</w:t>
      </w:r>
      <w:r>
        <w:rPr>
          <w:rFonts w:ascii="Arial" w:hAnsi="Arial" w:cs="Arial"/>
          <w:color w:val="404040" w:themeColor="text1" w:themeTint="BF"/>
          <w:lang w:val="pt-PT"/>
        </w:rPr>
        <w:t>o</w:t>
      </w:r>
      <w:r w:rsidRPr="00781F53">
        <w:rPr>
          <w:rFonts w:ascii="Arial" w:hAnsi="Arial" w:cs="Arial"/>
          <w:color w:val="404040" w:themeColor="text1" w:themeTint="BF"/>
          <w:lang w:val="pt-PT"/>
        </w:rPr>
        <w:t>-forma</w:t>
      </w:r>
      <w:proofErr w:type="spellEnd"/>
      <w:r w:rsidRPr="00781F53">
        <w:rPr>
          <w:rStyle w:val="Refdenotaderodap"/>
          <w:rFonts w:ascii="Arial" w:hAnsi="Arial" w:cs="Arial"/>
          <w:color w:val="404040" w:themeColor="text1" w:themeTint="BF"/>
          <w:lang w:val="pt-PT"/>
        </w:rPr>
        <w:footnoteReference w:id="2"/>
      </w:r>
      <w:r w:rsidRPr="00781F53">
        <w:rPr>
          <w:rFonts w:ascii="Arial" w:hAnsi="Arial" w:cs="Arial"/>
          <w:color w:val="404040" w:themeColor="text1" w:themeTint="BF"/>
          <w:lang w:val="pt-PT"/>
        </w:rPr>
        <w:t xml:space="preserve"> entregues em 2021. A Mondial Relay serve uma grande base de consumidores domésticos europeus que está bem posicionada </w:t>
      </w:r>
      <w:proofErr w:type="gramStart"/>
      <w:r w:rsidRPr="00781F53">
        <w:rPr>
          <w:rFonts w:ascii="Arial" w:hAnsi="Arial" w:cs="Arial"/>
          <w:color w:val="404040" w:themeColor="text1" w:themeTint="BF"/>
          <w:lang w:val="pt-PT"/>
        </w:rPr>
        <w:t>para</w:t>
      </w:r>
      <w:proofErr w:type="gramEnd"/>
      <w:r w:rsidRPr="00781F53">
        <w:rPr>
          <w:rFonts w:ascii="Arial" w:hAnsi="Arial" w:cs="Arial"/>
          <w:color w:val="404040" w:themeColor="text1" w:themeTint="BF"/>
          <w:lang w:val="pt-PT"/>
        </w:rPr>
        <w:t xml:space="preserve"> beneficiar da automatização que já transformou o mercado polaco.</w:t>
      </w:r>
    </w:p>
    <w:p w14:paraId="6DF75182"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Aceleração da instalação de ‘</w:t>
      </w:r>
      <w:proofErr w:type="spellStart"/>
      <w:r w:rsidRPr="00781F53">
        <w:rPr>
          <w:rFonts w:ascii="Arial" w:hAnsi="Arial" w:cs="Arial"/>
          <w:color w:val="404040" w:themeColor="text1" w:themeTint="BF"/>
          <w:lang w:val="pt-PT"/>
        </w:rPr>
        <w:t>lockers</w:t>
      </w:r>
      <w:proofErr w:type="spellEnd"/>
      <w:r w:rsidRPr="00781F53">
        <w:rPr>
          <w:rFonts w:ascii="Arial" w:hAnsi="Arial" w:cs="Arial"/>
          <w:color w:val="404040" w:themeColor="text1" w:themeTint="BF"/>
          <w:lang w:val="pt-PT"/>
        </w:rPr>
        <w:t xml:space="preserve">’ em todos os mercados da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O número total de ‘</w:t>
      </w:r>
      <w:proofErr w:type="spellStart"/>
      <w:r w:rsidRPr="00781F53">
        <w:rPr>
          <w:rFonts w:ascii="Arial" w:hAnsi="Arial" w:cs="Arial"/>
          <w:color w:val="404040" w:themeColor="text1" w:themeTint="BF"/>
          <w:lang w:val="pt-PT"/>
        </w:rPr>
        <w:t>Automated</w:t>
      </w:r>
      <w:proofErr w:type="spellEnd"/>
      <w:r w:rsidRPr="00781F53">
        <w:rPr>
          <w:rFonts w:ascii="Arial" w:hAnsi="Arial" w:cs="Arial"/>
          <w:color w:val="404040" w:themeColor="text1" w:themeTint="BF"/>
          <w:lang w:val="pt-PT"/>
        </w:rPr>
        <w:t xml:space="preserve"> </w:t>
      </w:r>
      <w:proofErr w:type="spellStart"/>
      <w:r w:rsidRPr="00781F53">
        <w:rPr>
          <w:rFonts w:ascii="Arial" w:hAnsi="Arial" w:cs="Arial"/>
          <w:color w:val="404040" w:themeColor="text1" w:themeTint="BF"/>
          <w:lang w:val="pt-PT"/>
        </w:rPr>
        <w:t>Parcel</w:t>
      </w:r>
      <w:proofErr w:type="spellEnd"/>
      <w:r w:rsidRPr="00781F53">
        <w:rPr>
          <w:rFonts w:ascii="Arial" w:hAnsi="Arial" w:cs="Arial"/>
          <w:color w:val="404040" w:themeColor="text1" w:themeTint="BF"/>
          <w:lang w:val="pt-PT"/>
        </w:rPr>
        <w:t xml:space="preserve"> </w:t>
      </w:r>
      <w:proofErr w:type="spellStart"/>
      <w:r w:rsidRPr="00781F53">
        <w:rPr>
          <w:rFonts w:ascii="Arial" w:hAnsi="Arial" w:cs="Arial"/>
          <w:color w:val="404040" w:themeColor="text1" w:themeTint="BF"/>
          <w:lang w:val="pt-PT"/>
        </w:rPr>
        <w:t>Machines</w:t>
      </w:r>
      <w:proofErr w:type="spellEnd"/>
      <w:r w:rsidRPr="00781F53">
        <w:rPr>
          <w:rFonts w:ascii="Arial" w:hAnsi="Arial" w:cs="Arial"/>
          <w:color w:val="404040" w:themeColor="text1" w:themeTint="BF"/>
          <w:lang w:val="pt-PT"/>
        </w:rPr>
        <w:t>’ (APM) aumentou 66% face ao período homólogo, para 20.367, com um total de 2,6 milhões de ‘</w:t>
      </w:r>
      <w:proofErr w:type="spellStart"/>
      <w:r w:rsidRPr="00781F53">
        <w:rPr>
          <w:rFonts w:ascii="Arial" w:hAnsi="Arial" w:cs="Arial"/>
          <w:color w:val="404040" w:themeColor="text1" w:themeTint="BF"/>
          <w:lang w:val="pt-PT"/>
        </w:rPr>
        <w:t>lockers</w:t>
      </w:r>
      <w:proofErr w:type="spellEnd"/>
      <w:r w:rsidRPr="00781F53">
        <w:rPr>
          <w:rFonts w:ascii="Arial" w:hAnsi="Arial" w:cs="Arial"/>
          <w:color w:val="404040" w:themeColor="text1" w:themeTint="BF"/>
          <w:lang w:val="pt-PT"/>
        </w:rPr>
        <w:t xml:space="preserve">’ instalados (+70% face ao ano anterior). Na Polónia, 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foi responsável por 90% dos novos ‘</w:t>
      </w:r>
      <w:proofErr w:type="spellStart"/>
      <w:r w:rsidRPr="00781F53">
        <w:rPr>
          <w:rFonts w:ascii="Arial" w:hAnsi="Arial" w:cs="Arial"/>
          <w:color w:val="404040" w:themeColor="text1" w:themeTint="BF"/>
          <w:lang w:val="pt-PT"/>
        </w:rPr>
        <w:t>lockers</w:t>
      </w:r>
      <w:proofErr w:type="spellEnd"/>
      <w:r w:rsidRPr="00781F53">
        <w:rPr>
          <w:rFonts w:ascii="Arial" w:hAnsi="Arial" w:cs="Arial"/>
          <w:color w:val="404040" w:themeColor="text1" w:themeTint="BF"/>
          <w:lang w:val="pt-PT"/>
        </w:rPr>
        <w:t>’ instalados no mercado em 2021.</w:t>
      </w:r>
    </w:p>
    <w:p w14:paraId="43FEEC7A" w14:textId="01340368"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 xml:space="preserve">A receita do grupo para o ano fiscal de 2021 aumentou em 82% para </w:t>
      </w:r>
      <w:proofErr w:type="gramStart"/>
      <w:r w:rsidRPr="00781F53">
        <w:rPr>
          <w:rFonts w:ascii="Arial" w:hAnsi="Arial" w:cs="Arial"/>
          <w:color w:val="404040" w:themeColor="text1" w:themeTint="BF"/>
          <w:lang w:val="pt-PT"/>
        </w:rPr>
        <w:t>4.602 milhões de</w:t>
      </w:r>
      <w:proofErr w:type="gramEnd"/>
      <w:r w:rsidRPr="00781F53">
        <w:rPr>
          <w:rFonts w:ascii="Arial" w:hAnsi="Arial" w:cs="Arial"/>
          <w:color w:val="404040" w:themeColor="text1" w:themeTint="BF"/>
          <w:lang w:val="pt-PT"/>
        </w:rPr>
        <w:t xml:space="preserve"> </w:t>
      </w:r>
      <w:proofErr w:type="gramStart"/>
      <w:r w:rsidRPr="00781F53">
        <w:rPr>
          <w:rFonts w:ascii="Arial" w:hAnsi="Arial" w:cs="Arial"/>
          <w:color w:val="404040" w:themeColor="text1" w:themeTint="BF"/>
          <w:lang w:val="pt-PT"/>
        </w:rPr>
        <w:t>zloty</w:t>
      </w:r>
      <w:proofErr w:type="gramEnd"/>
      <w:r w:rsidRPr="00781F53">
        <w:rPr>
          <w:rFonts w:ascii="Arial" w:hAnsi="Arial" w:cs="Arial"/>
          <w:color w:val="404040" w:themeColor="text1" w:themeTint="BF"/>
          <w:lang w:val="pt-PT"/>
        </w:rPr>
        <w:t xml:space="preserve">. Deste crescimento, 43 pontos percentuais </w:t>
      </w:r>
      <w:r w:rsidR="005C0B38">
        <w:rPr>
          <w:rFonts w:ascii="Arial" w:hAnsi="Arial" w:cs="Arial"/>
          <w:color w:val="404040" w:themeColor="text1" w:themeTint="BF"/>
          <w:lang w:val="pt-PT"/>
        </w:rPr>
        <w:t>v</w:t>
      </w:r>
      <w:r w:rsidRPr="00781F53">
        <w:rPr>
          <w:rFonts w:ascii="Arial" w:hAnsi="Arial" w:cs="Arial"/>
          <w:color w:val="404040" w:themeColor="text1" w:themeTint="BF"/>
          <w:lang w:val="pt-PT"/>
        </w:rPr>
        <w:t>ieram da aquisição da Mondial Relay. Ajudado por um crescimento da quota de mercado B2C na Polónia de 44% para 48%, o crescimento das receitas, excluindo a Mondial Relay, atingiu 39% em 2021.</w:t>
      </w:r>
    </w:p>
    <w:p w14:paraId="25C2CEBA"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 xml:space="preserve">O EBITDA ajustado do grupo cresceu 63,7% em 2021 para </w:t>
      </w:r>
      <w:proofErr w:type="gramStart"/>
      <w:r w:rsidRPr="00781F53">
        <w:rPr>
          <w:rFonts w:ascii="Arial" w:hAnsi="Arial" w:cs="Arial"/>
          <w:color w:val="404040" w:themeColor="text1" w:themeTint="BF"/>
          <w:lang w:val="pt-PT"/>
        </w:rPr>
        <w:t>1.626 milhões de</w:t>
      </w:r>
      <w:proofErr w:type="gramEnd"/>
      <w:r w:rsidRPr="00781F53">
        <w:rPr>
          <w:rFonts w:ascii="Arial" w:hAnsi="Arial" w:cs="Arial"/>
          <w:color w:val="404040" w:themeColor="text1" w:themeTint="BF"/>
          <w:lang w:val="pt-PT"/>
        </w:rPr>
        <w:t xml:space="preserve"> </w:t>
      </w:r>
      <w:proofErr w:type="gramStart"/>
      <w:r w:rsidRPr="00781F53">
        <w:rPr>
          <w:rFonts w:ascii="Arial" w:hAnsi="Arial" w:cs="Arial"/>
          <w:color w:val="404040" w:themeColor="text1" w:themeTint="BF"/>
          <w:lang w:val="pt-PT"/>
        </w:rPr>
        <w:t>zloty</w:t>
      </w:r>
      <w:proofErr w:type="gramEnd"/>
      <w:r w:rsidRPr="00781F53">
        <w:rPr>
          <w:rFonts w:ascii="Arial" w:hAnsi="Arial" w:cs="Arial"/>
          <w:color w:val="404040" w:themeColor="text1" w:themeTint="BF"/>
          <w:lang w:val="pt-PT"/>
        </w:rPr>
        <w:t xml:space="preserve">. A aquisição da Mondial Relay foi responsável por 15,6 pontos percentuais deste crescimento, enquanto o resto da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contribuiu com um crescimento orgânico de EBITDA ajustado de 48,1% em 2021. A margem do EBITDA ajustado da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excluindo a Mondial Relay, aumentou em 2021 em 230 </w:t>
      </w:r>
      <w:proofErr w:type="spellStart"/>
      <w:r w:rsidRPr="00781F53">
        <w:rPr>
          <w:rFonts w:ascii="Arial" w:hAnsi="Arial" w:cs="Arial"/>
          <w:color w:val="404040" w:themeColor="text1" w:themeTint="BF"/>
          <w:lang w:val="pt-PT"/>
        </w:rPr>
        <w:t>pontos-base</w:t>
      </w:r>
      <w:proofErr w:type="spellEnd"/>
      <w:r w:rsidRPr="00781F53">
        <w:rPr>
          <w:rFonts w:ascii="Arial" w:hAnsi="Arial" w:cs="Arial"/>
          <w:color w:val="404040" w:themeColor="text1" w:themeTint="BF"/>
          <w:lang w:val="pt-PT"/>
        </w:rPr>
        <w:t xml:space="preserve"> para 41,8%, </w:t>
      </w:r>
      <w:r w:rsidRPr="00781F53">
        <w:rPr>
          <w:rFonts w:ascii="Arial" w:hAnsi="Arial" w:cs="Arial"/>
          <w:color w:val="404040" w:themeColor="text1" w:themeTint="BF"/>
          <w:lang w:val="pt-PT"/>
        </w:rPr>
        <w:lastRenderedPageBreak/>
        <w:t>enquanto a consolidação da Mondial Relay, que é um negócio com margens de negócio estruturalmente mais bai</w:t>
      </w:r>
      <w:r>
        <w:rPr>
          <w:rFonts w:ascii="Arial" w:hAnsi="Arial" w:cs="Arial"/>
          <w:color w:val="404040" w:themeColor="text1" w:themeTint="BF"/>
          <w:lang w:val="pt-PT"/>
        </w:rPr>
        <w:t>x</w:t>
      </w:r>
      <w:r w:rsidRPr="00781F53">
        <w:rPr>
          <w:rFonts w:ascii="Arial" w:hAnsi="Arial" w:cs="Arial"/>
          <w:color w:val="404040" w:themeColor="text1" w:themeTint="BF"/>
          <w:lang w:val="pt-PT"/>
        </w:rPr>
        <w:t xml:space="preserve">as, resultou numa diluição da margem reportada de 400 </w:t>
      </w:r>
      <w:proofErr w:type="spellStart"/>
      <w:r w:rsidRPr="00781F53">
        <w:rPr>
          <w:rFonts w:ascii="Arial" w:hAnsi="Arial" w:cs="Arial"/>
          <w:color w:val="404040" w:themeColor="text1" w:themeTint="BF"/>
          <w:lang w:val="pt-PT"/>
        </w:rPr>
        <w:t>pontos-base</w:t>
      </w:r>
      <w:proofErr w:type="spellEnd"/>
      <w:r w:rsidRPr="00781F53">
        <w:rPr>
          <w:rFonts w:ascii="Arial" w:hAnsi="Arial" w:cs="Arial"/>
          <w:color w:val="404040" w:themeColor="text1" w:themeTint="BF"/>
          <w:lang w:val="pt-PT"/>
        </w:rPr>
        <w:t>, para 35,3%.</w:t>
      </w:r>
    </w:p>
    <w:p w14:paraId="3D817735"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 xml:space="preserve">As despesas de capital do grupo aumentaram em 74% </w:t>
      </w:r>
      <w:proofErr w:type="spellStart"/>
      <w:r w:rsidRPr="00781F53">
        <w:rPr>
          <w:rFonts w:ascii="Arial" w:hAnsi="Arial" w:cs="Arial"/>
          <w:color w:val="404040" w:themeColor="text1" w:themeTint="BF"/>
          <w:lang w:val="pt-PT"/>
        </w:rPr>
        <w:t>YoY</w:t>
      </w:r>
      <w:proofErr w:type="spellEnd"/>
      <w:r w:rsidRPr="00781F53">
        <w:rPr>
          <w:rFonts w:ascii="Arial" w:hAnsi="Arial" w:cs="Arial"/>
          <w:color w:val="404040" w:themeColor="text1" w:themeTint="BF"/>
          <w:lang w:val="pt-PT"/>
        </w:rPr>
        <w:t xml:space="preserve"> para 935,6 milhões de zloty, sobretudo devido à expansão dinâmica da rede de APM na Polónia e no Reino Unido, bem como ao investimento em infraestrutura de logística na Polónia. As despesas de capital na Polónia cresceram 41% </w:t>
      </w:r>
      <w:proofErr w:type="spellStart"/>
      <w:r w:rsidRPr="00781F53">
        <w:rPr>
          <w:rFonts w:ascii="Arial" w:hAnsi="Arial" w:cs="Arial"/>
          <w:color w:val="404040" w:themeColor="text1" w:themeTint="BF"/>
          <w:lang w:val="pt-PT"/>
        </w:rPr>
        <w:t>YoY</w:t>
      </w:r>
      <w:proofErr w:type="spellEnd"/>
      <w:r w:rsidRPr="00781F53">
        <w:rPr>
          <w:rFonts w:ascii="Arial" w:hAnsi="Arial" w:cs="Arial"/>
          <w:color w:val="404040" w:themeColor="text1" w:themeTint="BF"/>
          <w:lang w:val="pt-PT"/>
        </w:rPr>
        <w:t xml:space="preserve"> e foram responsáveis por 76% do total </w:t>
      </w:r>
      <w:proofErr w:type="spellStart"/>
      <w:r w:rsidRPr="00781F53">
        <w:rPr>
          <w:rFonts w:ascii="Arial" w:hAnsi="Arial" w:cs="Arial"/>
          <w:color w:val="404040" w:themeColor="text1" w:themeTint="BF"/>
          <w:lang w:val="pt-PT"/>
        </w:rPr>
        <w:t>capex</w:t>
      </w:r>
      <w:proofErr w:type="spellEnd"/>
      <w:r w:rsidRPr="00781F53">
        <w:rPr>
          <w:rFonts w:ascii="Arial" w:hAnsi="Arial" w:cs="Arial"/>
          <w:color w:val="404040" w:themeColor="text1" w:themeTint="BF"/>
          <w:lang w:val="pt-PT"/>
        </w:rPr>
        <w:t xml:space="preserve"> do grupo.</w:t>
      </w:r>
    </w:p>
    <w:p w14:paraId="2AC70A97"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O fluxo de caixa (“</w:t>
      </w:r>
      <w:proofErr w:type="spellStart"/>
      <w:r w:rsidRPr="00781F53">
        <w:rPr>
          <w:rFonts w:ascii="Arial" w:hAnsi="Arial" w:cs="Arial"/>
          <w:color w:val="404040" w:themeColor="text1" w:themeTint="BF"/>
          <w:lang w:val="pt-PT"/>
        </w:rPr>
        <w:t>free</w:t>
      </w:r>
      <w:proofErr w:type="spellEnd"/>
      <w:r w:rsidRPr="00781F53">
        <w:rPr>
          <w:rFonts w:ascii="Arial" w:hAnsi="Arial" w:cs="Arial"/>
          <w:color w:val="404040" w:themeColor="text1" w:themeTint="BF"/>
          <w:lang w:val="pt-PT"/>
        </w:rPr>
        <w:t xml:space="preserve"> cash </w:t>
      </w:r>
      <w:proofErr w:type="spellStart"/>
      <w:r w:rsidRPr="00781F53">
        <w:rPr>
          <w:rFonts w:ascii="Arial" w:hAnsi="Arial" w:cs="Arial"/>
          <w:color w:val="404040" w:themeColor="text1" w:themeTint="BF"/>
          <w:lang w:val="pt-PT"/>
        </w:rPr>
        <w:t>flow</w:t>
      </w:r>
      <w:proofErr w:type="spellEnd"/>
      <w:r w:rsidRPr="00781F53">
        <w:rPr>
          <w:rFonts w:ascii="Arial" w:hAnsi="Arial" w:cs="Arial"/>
          <w:color w:val="404040" w:themeColor="text1" w:themeTint="BF"/>
          <w:lang w:val="pt-PT"/>
        </w:rPr>
        <w:t xml:space="preserve">”) após pagamentos de </w:t>
      </w:r>
      <w:proofErr w:type="gramStart"/>
      <w:r w:rsidRPr="00781F53">
        <w:rPr>
          <w:rFonts w:ascii="Arial" w:hAnsi="Arial" w:cs="Arial"/>
          <w:color w:val="404040" w:themeColor="text1" w:themeTint="BF"/>
          <w:lang w:val="pt-PT"/>
        </w:rPr>
        <w:t>lease</w:t>
      </w:r>
      <w:proofErr w:type="gramEnd"/>
      <w:r w:rsidRPr="00781F53">
        <w:rPr>
          <w:rFonts w:ascii="Arial" w:hAnsi="Arial" w:cs="Arial"/>
          <w:color w:val="404040" w:themeColor="text1" w:themeTint="BF"/>
          <w:lang w:val="pt-PT"/>
        </w:rPr>
        <w:t xml:space="preserve"> cresceu 73% </w:t>
      </w:r>
      <w:proofErr w:type="spellStart"/>
      <w:r w:rsidRPr="00781F53">
        <w:rPr>
          <w:rFonts w:ascii="Arial" w:hAnsi="Arial" w:cs="Arial"/>
          <w:color w:val="404040" w:themeColor="text1" w:themeTint="BF"/>
          <w:lang w:val="pt-PT"/>
        </w:rPr>
        <w:t>YoY</w:t>
      </w:r>
      <w:proofErr w:type="spellEnd"/>
      <w:r w:rsidRPr="00781F53">
        <w:rPr>
          <w:rFonts w:ascii="Arial" w:hAnsi="Arial" w:cs="Arial"/>
          <w:color w:val="404040" w:themeColor="text1" w:themeTint="BF"/>
          <w:lang w:val="pt-PT"/>
        </w:rPr>
        <w:t xml:space="preserve"> para 131,6 milhões de zloty.</w:t>
      </w:r>
    </w:p>
    <w:p w14:paraId="30EE10A2" w14:textId="77777777" w:rsidR="00310590" w:rsidRPr="00781F53" w:rsidRDefault="00310590" w:rsidP="00310590">
      <w:pPr>
        <w:spacing w:after="60" w:line="276" w:lineRule="auto"/>
        <w:ind w:right="-425"/>
        <w:rPr>
          <w:rFonts w:ascii="Arial" w:hAnsi="Arial" w:cs="Arial"/>
          <w:b/>
          <w:bCs/>
          <w:color w:val="404040" w:themeColor="text1" w:themeTint="BF"/>
          <w:lang w:val="pt-PT"/>
        </w:rPr>
      </w:pPr>
      <w:r w:rsidRPr="00781F53">
        <w:rPr>
          <w:rFonts w:ascii="Arial" w:hAnsi="Arial" w:cs="Arial"/>
          <w:b/>
          <w:bCs/>
          <w:color w:val="404040" w:themeColor="text1" w:themeTint="BF"/>
          <w:lang w:val="pt-PT"/>
        </w:rPr>
        <w:t>DESTAQUES do Quarto Trimestre de 2021</w:t>
      </w:r>
    </w:p>
    <w:p w14:paraId="3800DF28"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 xml:space="preserve">As receitas do Grupo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cresceram 96,9% no quarto trimestre (4T) de 2021 face ao período homólogo do ano anterior, para 1.677 de </w:t>
      </w:r>
      <w:proofErr w:type="gramStart"/>
      <w:r w:rsidRPr="00781F53">
        <w:rPr>
          <w:rFonts w:ascii="Arial" w:hAnsi="Arial" w:cs="Arial"/>
          <w:color w:val="404040" w:themeColor="text1" w:themeTint="BF"/>
          <w:lang w:val="pt-PT"/>
        </w:rPr>
        <w:t>milhões de</w:t>
      </w:r>
      <w:proofErr w:type="gramEnd"/>
      <w:r w:rsidRPr="00781F53">
        <w:rPr>
          <w:rFonts w:ascii="Arial" w:hAnsi="Arial" w:cs="Arial"/>
          <w:color w:val="404040" w:themeColor="text1" w:themeTint="BF"/>
          <w:lang w:val="pt-PT"/>
        </w:rPr>
        <w:t xml:space="preserve"> </w:t>
      </w:r>
      <w:proofErr w:type="gramStart"/>
      <w:r w:rsidRPr="00781F53">
        <w:rPr>
          <w:rFonts w:ascii="Arial" w:hAnsi="Arial" w:cs="Arial"/>
          <w:color w:val="404040" w:themeColor="text1" w:themeTint="BF"/>
          <w:lang w:val="pt-PT"/>
        </w:rPr>
        <w:t>zloty</w:t>
      </w:r>
      <w:proofErr w:type="gramEnd"/>
      <w:r w:rsidRPr="00781F53">
        <w:rPr>
          <w:rFonts w:ascii="Arial" w:hAnsi="Arial" w:cs="Arial"/>
          <w:color w:val="404040" w:themeColor="text1" w:themeTint="BF"/>
          <w:lang w:val="pt-PT"/>
        </w:rPr>
        <w:t xml:space="preserve">. Destes, 73 pontos percentuais correspondem à aquisição da Mondial Relay, enquanto o crescimento da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excluindo a Mondial Relay foi de 23,9% no 4T.</w:t>
      </w:r>
    </w:p>
    <w:p w14:paraId="147DE63D"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N</w:t>
      </w:r>
      <w:r w:rsidRPr="00781F53">
        <w:rPr>
          <w:rFonts w:ascii="Arial" w:hAnsi="Arial" w:cs="Arial"/>
          <w:color w:val="404040" w:themeColor="text1" w:themeTint="BF"/>
          <w:lang w:val="pt-PT"/>
        </w:rPr>
        <w:t>o 4T, o EBITDA ajustado cresce</w:t>
      </w:r>
      <w:r>
        <w:rPr>
          <w:rFonts w:ascii="Arial" w:hAnsi="Arial" w:cs="Arial"/>
          <w:color w:val="404040" w:themeColor="text1" w:themeTint="BF"/>
          <w:lang w:val="pt-PT"/>
        </w:rPr>
        <w:t>u</w:t>
      </w:r>
      <w:r w:rsidRPr="00781F53">
        <w:rPr>
          <w:rFonts w:ascii="Arial" w:hAnsi="Arial" w:cs="Arial"/>
          <w:color w:val="404040" w:themeColor="text1" w:themeTint="BF"/>
          <w:lang w:val="pt-PT"/>
        </w:rPr>
        <w:t xml:space="preserve"> 46,7% para </w:t>
      </w:r>
      <w:proofErr w:type="gramStart"/>
      <w:r w:rsidRPr="00781F53">
        <w:rPr>
          <w:rFonts w:ascii="Arial" w:hAnsi="Arial" w:cs="Arial"/>
          <w:color w:val="404040" w:themeColor="text1" w:themeTint="BF"/>
          <w:lang w:val="pt-PT"/>
        </w:rPr>
        <w:t>523,1 milhões de</w:t>
      </w:r>
      <w:proofErr w:type="gramEnd"/>
      <w:r w:rsidRPr="00781F53">
        <w:rPr>
          <w:rFonts w:ascii="Arial" w:hAnsi="Arial" w:cs="Arial"/>
          <w:color w:val="404040" w:themeColor="text1" w:themeTint="BF"/>
          <w:lang w:val="pt-PT"/>
        </w:rPr>
        <w:t xml:space="preserve"> </w:t>
      </w:r>
      <w:proofErr w:type="gramStart"/>
      <w:r w:rsidRPr="00781F53">
        <w:rPr>
          <w:rFonts w:ascii="Arial" w:hAnsi="Arial" w:cs="Arial"/>
          <w:color w:val="404040" w:themeColor="text1" w:themeTint="BF"/>
          <w:lang w:val="pt-PT"/>
        </w:rPr>
        <w:t>zloty</w:t>
      </w:r>
      <w:proofErr w:type="gramEnd"/>
      <w:r w:rsidRPr="00781F53">
        <w:rPr>
          <w:rFonts w:ascii="Arial" w:hAnsi="Arial" w:cs="Arial"/>
          <w:color w:val="404040" w:themeColor="text1" w:themeTint="BF"/>
          <w:lang w:val="pt-PT"/>
        </w:rPr>
        <w:t xml:space="preserve"> com 29 pontos percentuais derivados da consolidação da Mondial Relay e 17,7% de crescimento orgânico EBITDA dos mercados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w:t>
      </w:r>
    </w:p>
    <w:p w14:paraId="3CF66A6F" w14:textId="77777777" w:rsidR="00310590" w:rsidRPr="00781F53" w:rsidRDefault="00310590" w:rsidP="00310590">
      <w:pPr>
        <w:widowControl/>
        <w:autoSpaceDE/>
        <w:autoSpaceDN/>
        <w:spacing w:after="160" w:line="276" w:lineRule="auto"/>
        <w:rPr>
          <w:rFonts w:ascii="Arial" w:hAnsi="Arial" w:cs="Arial"/>
          <w:b/>
          <w:color w:val="404040" w:themeColor="text1" w:themeTint="BF"/>
          <w:lang w:val="pt-PT"/>
        </w:rPr>
      </w:pPr>
      <w:r w:rsidRPr="00781F53">
        <w:rPr>
          <w:rFonts w:ascii="Arial" w:hAnsi="Arial" w:cs="Arial"/>
          <w:b/>
          <w:bCs/>
          <w:color w:val="404040" w:themeColor="text1" w:themeTint="BF"/>
          <w:lang w:val="pt-PT"/>
        </w:rPr>
        <w:t>DESTAQUES ESG</w:t>
      </w:r>
    </w:p>
    <w:p w14:paraId="545DE79C" w14:textId="1C1F488E" w:rsidR="00310590" w:rsidRPr="007547A2"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781F53">
        <w:rPr>
          <w:rFonts w:ascii="Arial" w:hAnsi="Arial" w:cs="Arial"/>
          <w:color w:val="404040" w:themeColor="text1" w:themeTint="BF"/>
          <w:lang w:val="pt-PT"/>
        </w:rPr>
        <w:t>Os ‘</w:t>
      </w:r>
      <w:proofErr w:type="spellStart"/>
      <w:r w:rsidRPr="00781F53">
        <w:rPr>
          <w:rFonts w:ascii="Arial" w:hAnsi="Arial" w:cs="Arial"/>
          <w:color w:val="404040" w:themeColor="text1" w:themeTint="BF"/>
          <w:lang w:val="pt-PT"/>
        </w:rPr>
        <w:t>lockers</w:t>
      </w:r>
      <w:proofErr w:type="spellEnd"/>
      <w:r w:rsidRPr="00781F53">
        <w:rPr>
          <w:rFonts w:ascii="Arial" w:hAnsi="Arial" w:cs="Arial"/>
          <w:color w:val="404040" w:themeColor="text1" w:themeTint="BF"/>
          <w:lang w:val="pt-PT"/>
        </w:rPr>
        <w:t xml:space="preserve">’ da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são já a solução mais sustentável e escalável para entregas de comércio eletrónico de </w:t>
      </w:r>
      <w:r w:rsidR="00A34182">
        <w:rPr>
          <w:rFonts w:ascii="Arial" w:hAnsi="Arial" w:cs="Arial"/>
          <w:color w:val="404040" w:themeColor="text1" w:themeTint="BF"/>
          <w:lang w:val="pt-PT"/>
        </w:rPr>
        <w:t>última milha, do</w:t>
      </w:r>
      <w:r w:rsidRPr="00781F53">
        <w:rPr>
          <w:rFonts w:ascii="Arial" w:hAnsi="Arial" w:cs="Arial"/>
          <w:color w:val="404040" w:themeColor="text1" w:themeTint="BF"/>
          <w:lang w:val="pt-PT"/>
        </w:rPr>
        <w:t xml:space="preserve"> ponto de vista de emissões de CO</w:t>
      </w:r>
      <w:r w:rsidRPr="00781F53">
        <w:rPr>
          <w:rFonts w:ascii="Arial" w:hAnsi="Arial" w:cs="Arial"/>
          <w:color w:val="404040" w:themeColor="text1" w:themeTint="BF"/>
          <w:vertAlign w:val="subscript"/>
          <w:lang w:val="pt-PT"/>
        </w:rPr>
        <w:t>2</w:t>
      </w:r>
      <w:r w:rsidRPr="00781F53">
        <w:rPr>
          <w:rFonts w:ascii="Arial" w:hAnsi="Arial" w:cs="Arial"/>
          <w:color w:val="404040" w:themeColor="text1" w:themeTint="BF"/>
          <w:lang w:val="pt-PT"/>
        </w:rPr>
        <w:t xml:space="preserve">, utilização de combustível e segurança rodoviária. </w:t>
      </w:r>
      <w:r>
        <w:rPr>
          <w:rFonts w:ascii="Arial" w:hAnsi="Arial" w:cs="Arial"/>
          <w:color w:val="404040" w:themeColor="text1" w:themeTint="BF"/>
          <w:lang w:val="pt-PT"/>
        </w:rPr>
        <w:t>E</w:t>
      </w:r>
      <w:r w:rsidRPr="00781F53">
        <w:rPr>
          <w:rFonts w:ascii="Arial" w:hAnsi="Arial" w:cs="Arial"/>
          <w:color w:val="404040" w:themeColor="text1" w:themeTint="BF"/>
          <w:lang w:val="pt-PT"/>
        </w:rPr>
        <w:t xml:space="preserve">m 2021, 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continuou a fazer avançar o seu compromisso ESG [</w:t>
      </w:r>
      <w:proofErr w:type="spellStart"/>
      <w:r w:rsidRPr="00781F53">
        <w:rPr>
          <w:rFonts w:ascii="Arial" w:hAnsi="Arial" w:cs="Arial"/>
          <w:color w:val="404040" w:themeColor="text1" w:themeTint="BF"/>
          <w:lang w:val="pt-PT"/>
        </w:rPr>
        <w:t>Environmental</w:t>
      </w:r>
      <w:proofErr w:type="spellEnd"/>
      <w:r w:rsidRPr="00781F53">
        <w:rPr>
          <w:rFonts w:ascii="Arial" w:hAnsi="Arial" w:cs="Arial"/>
          <w:color w:val="404040" w:themeColor="text1" w:themeTint="BF"/>
          <w:lang w:val="pt-PT"/>
        </w:rPr>
        <w:t xml:space="preserve">, Social </w:t>
      </w:r>
      <w:proofErr w:type="spellStart"/>
      <w:r w:rsidRPr="00781F53">
        <w:rPr>
          <w:rFonts w:ascii="Arial" w:hAnsi="Arial" w:cs="Arial"/>
          <w:color w:val="404040" w:themeColor="text1" w:themeTint="BF"/>
          <w:lang w:val="pt-PT"/>
        </w:rPr>
        <w:t>and</w:t>
      </w:r>
      <w:proofErr w:type="spellEnd"/>
      <w:r w:rsidRPr="00781F53">
        <w:rPr>
          <w:rFonts w:ascii="Arial" w:hAnsi="Arial" w:cs="Arial"/>
          <w:color w:val="404040" w:themeColor="text1" w:themeTint="BF"/>
          <w:lang w:val="pt-PT"/>
        </w:rPr>
        <w:t xml:space="preserve"> </w:t>
      </w:r>
      <w:proofErr w:type="spellStart"/>
      <w:r w:rsidRPr="00781F53">
        <w:rPr>
          <w:rFonts w:ascii="Arial" w:hAnsi="Arial" w:cs="Arial"/>
          <w:color w:val="404040" w:themeColor="text1" w:themeTint="BF"/>
          <w:lang w:val="pt-PT"/>
        </w:rPr>
        <w:t>Governance</w:t>
      </w:r>
      <w:proofErr w:type="spellEnd"/>
      <w:r>
        <w:rPr>
          <w:rFonts w:ascii="Arial" w:hAnsi="Arial" w:cs="Arial"/>
          <w:color w:val="404040" w:themeColor="text1" w:themeTint="BF"/>
          <w:lang w:val="pt-PT"/>
        </w:rPr>
        <w:t>] para todos os seus acionistas</w:t>
      </w:r>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estabeleceu parcerias em </w:t>
      </w:r>
      <w:r w:rsidRPr="00781F53">
        <w:rPr>
          <w:rFonts w:ascii="Arial" w:hAnsi="Arial" w:cs="Arial"/>
          <w:color w:val="404040" w:themeColor="text1" w:themeTint="BF"/>
          <w:lang w:val="pt-PT"/>
        </w:rPr>
        <w:t xml:space="preserve">21 </w:t>
      </w:r>
      <w:proofErr w:type="spellStart"/>
      <w:r>
        <w:rPr>
          <w:rFonts w:ascii="Arial" w:hAnsi="Arial" w:cs="Arial"/>
          <w:color w:val="404040" w:themeColor="text1" w:themeTint="BF"/>
          <w:lang w:val="pt-PT"/>
        </w:rPr>
        <w:t>cidades-chave</w:t>
      </w:r>
      <w:proofErr w:type="spellEnd"/>
      <w:r>
        <w:rPr>
          <w:rFonts w:ascii="Arial" w:hAnsi="Arial" w:cs="Arial"/>
          <w:color w:val="404040" w:themeColor="text1" w:themeTint="BF"/>
          <w:lang w:val="pt-PT"/>
        </w:rPr>
        <w:t xml:space="preserve"> da </w:t>
      </w:r>
      <w:r w:rsidRPr="00781F53">
        <w:rPr>
          <w:rFonts w:ascii="Arial" w:hAnsi="Arial" w:cs="Arial"/>
          <w:color w:val="404040" w:themeColor="text1" w:themeTint="BF"/>
          <w:lang w:val="pt-PT"/>
        </w:rPr>
        <w:t>Pol</w:t>
      </w:r>
      <w:r>
        <w:rPr>
          <w:rFonts w:ascii="Arial" w:hAnsi="Arial" w:cs="Arial"/>
          <w:color w:val="404040" w:themeColor="text1" w:themeTint="BF"/>
          <w:lang w:val="pt-PT"/>
        </w:rPr>
        <w:t xml:space="preserve">ónia como parte do programa </w:t>
      </w:r>
      <w:r w:rsidRPr="00781F53">
        <w:rPr>
          <w:rFonts w:ascii="Arial" w:hAnsi="Arial" w:cs="Arial"/>
          <w:color w:val="404040" w:themeColor="text1" w:themeTint="BF"/>
          <w:lang w:val="pt-PT"/>
        </w:rPr>
        <w:t xml:space="preserve">“Green </w:t>
      </w:r>
      <w:proofErr w:type="spellStart"/>
      <w:r w:rsidRPr="00781F53">
        <w:rPr>
          <w:rFonts w:ascii="Arial" w:hAnsi="Arial" w:cs="Arial"/>
          <w:color w:val="404040" w:themeColor="text1" w:themeTint="BF"/>
          <w:lang w:val="pt-PT"/>
        </w:rPr>
        <w:t>City</w:t>
      </w:r>
      <w:proofErr w:type="spellEnd"/>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e focou-se num conjunto de inovadoras iniciativas ambientais</w:t>
      </w:r>
      <w:r w:rsidRPr="00781F53">
        <w:rPr>
          <w:rFonts w:ascii="Arial" w:hAnsi="Arial" w:cs="Arial"/>
          <w:color w:val="404040" w:themeColor="text1" w:themeTint="BF"/>
          <w:lang w:val="pt-PT"/>
        </w:rPr>
        <w:t>, inclu</w:t>
      </w:r>
      <w:r>
        <w:rPr>
          <w:rFonts w:ascii="Arial" w:hAnsi="Arial" w:cs="Arial"/>
          <w:color w:val="404040" w:themeColor="text1" w:themeTint="BF"/>
          <w:lang w:val="pt-PT"/>
        </w:rPr>
        <w:t xml:space="preserve">indo a primeira solução de energia renovável para </w:t>
      </w:r>
      <w:proofErr w:type="spellStart"/>
      <w:r w:rsidRPr="00781F53">
        <w:rPr>
          <w:rFonts w:ascii="Arial" w:hAnsi="Arial" w:cs="Arial"/>
          <w:color w:val="404040" w:themeColor="text1" w:themeTint="BF"/>
          <w:lang w:val="pt-PT"/>
        </w:rPr>
        <w:t>APMs</w:t>
      </w:r>
      <w:proofErr w:type="spellEnd"/>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na </w:t>
      </w:r>
      <w:r w:rsidRPr="00781F53">
        <w:rPr>
          <w:rFonts w:ascii="Arial" w:hAnsi="Arial" w:cs="Arial"/>
          <w:color w:val="404040" w:themeColor="text1" w:themeTint="BF"/>
          <w:lang w:val="pt-PT"/>
        </w:rPr>
        <w:t>Pol</w:t>
      </w:r>
      <w:r>
        <w:rPr>
          <w:rFonts w:ascii="Arial" w:hAnsi="Arial" w:cs="Arial"/>
          <w:color w:val="404040" w:themeColor="text1" w:themeTint="BF"/>
          <w:lang w:val="pt-PT"/>
        </w:rPr>
        <w:t>ónia</w:t>
      </w:r>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recebeu quatro distinções</w:t>
      </w:r>
      <w:r w:rsidRPr="007547A2">
        <w:rPr>
          <w:rFonts w:ascii="Arial" w:hAnsi="Arial" w:cs="Arial"/>
          <w:color w:val="404040" w:themeColor="text1" w:themeTint="BF"/>
          <w:lang w:val="pt-PT"/>
        </w:rPr>
        <w:t xml:space="preserve"> ESG, </w:t>
      </w:r>
      <w:r>
        <w:rPr>
          <w:rFonts w:ascii="Arial" w:hAnsi="Arial" w:cs="Arial"/>
          <w:color w:val="404040" w:themeColor="text1" w:themeTint="BF"/>
          <w:lang w:val="pt-PT"/>
        </w:rPr>
        <w:t>assinou a carta das Naçõ</w:t>
      </w:r>
      <w:r w:rsidRPr="007547A2">
        <w:rPr>
          <w:rFonts w:ascii="Arial" w:hAnsi="Arial" w:cs="Arial"/>
          <w:color w:val="404040" w:themeColor="text1" w:themeTint="BF"/>
          <w:lang w:val="pt-PT"/>
        </w:rPr>
        <w:t xml:space="preserve">es Unidas Global </w:t>
      </w:r>
      <w:proofErr w:type="spellStart"/>
      <w:r w:rsidRPr="007547A2">
        <w:rPr>
          <w:rFonts w:ascii="Arial" w:hAnsi="Arial" w:cs="Arial"/>
          <w:color w:val="404040" w:themeColor="text1" w:themeTint="BF"/>
          <w:lang w:val="pt-PT"/>
        </w:rPr>
        <w:t>Compact</w:t>
      </w:r>
      <w:proofErr w:type="spellEnd"/>
      <w:r w:rsidRPr="007547A2">
        <w:rPr>
          <w:rFonts w:ascii="Arial" w:hAnsi="Arial" w:cs="Arial"/>
          <w:color w:val="404040" w:themeColor="text1" w:themeTint="BF"/>
          <w:lang w:val="pt-PT"/>
        </w:rPr>
        <w:t xml:space="preserve"> para a Polónia, </w:t>
      </w:r>
      <w:r>
        <w:rPr>
          <w:rFonts w:ascii="Arial" w:hAnsi="Arial" w:cs="Arial"/>
          <w:color w:val="404040" w:themeColor="text1" w:themeTint="BF"/>
          <w:lang w:val="pt-PT"/>
        </w:rPr>
        <w:t xml:space="preserve">e assumiu o compromisso para a neutralidade carbónica até </w:t>
      </w:r>
      <w:r w:rsidRPr="007547A2">
        <w:rPr>
          <w:rFonts w:ascii="Arial" w:hAnsi="Arial" w:cs="Arial"/>
          <w:color w:val="404040" w:themeColor="text1" w:themeTint="BF"/>
          <w:lang w:val="pt-PT"/>
        </w:rPr>
        <w:t xml:space="preserve">2040 </w:t>
      </w:r>
      <w:r>
        <w:rPr>
          <w:rFonts w:ascii="Arial" w:hAnsi="Arial" w:cs="Arial"/>
          <w:color w:val="404040" w:themeColor="text1" w:themeTint="BF"/>
          <w:lang w:val="pt-PT"/>
        </w:rPr>
        <w:t xml:space="preserve">de acordo com a metodologia </w:t>
      </w:r>
      <w:proofErr w:type="spellStart"/>
      <w:r w:rsidRPr="007547A2">
        <w:rPr>
          <w:rFonts w:ascii="Arial" w:hAnsi="Arial" w:cs="Arial"/>
          <w:color w:val="404040" w:themeColor="text1" w:themeTint="BF"/>
          <w:lang w:val="pt-PT"/>
        </w:rPr>
        <w:t>SBTi</w:t>
      </w:r>
      <w:proofErr w:type="spellEnd"/>
      <w:r w:rsidRPr="007547A2">
        <w:rPr>
          <w:rFonts w:ascii="Arial" w:hAnsi="Arial" w:cs="Arial"/>
          <w:color w:val="404040" w:themeColor="text1" w:themeTint="BF"/>
          <w:lang w:val="pt-PT"/>
        </w:rPr>
        <w:t xml:space="preserve"> </w:t>
      </w:r>
      <w:r>
        <w:rPr>
          <w:rFonts w:ascii="Arial" w:hAnsi="Arial" w:cs="Arial"/>
          <w:color w:val="404040" w:themeColor="text1" w:themeTint="BF"/>
          <w:lang w:val="pt-PT"/>
        </w:rPr>
        <w:t>[</w:t>
      </w:r>
      <w:proofErr w:type="spellStart"/>
      <w:r w:rsidRPr="007547A2">
        <w:rPr>
          <w:rFonts w:ascii="Arial" w:hAnsi="Arial" w:cs="Arial"/>
          <w:color w:val="404040" w:themeColor="text1" w:themeTint="BF"/>
          <w:lang w:val="pt-PT"/>
        </w:rPr>
        <w:t>Science</w:t>
      </w:r>
      <w:proofErr w:type="spellEnd"/>
      <w:r w:rsidRPr="007547A2">
        <w:rPr>
          <w:rFonts w:ascii="Arial" w:hAnsi="Arial" w:cs="Arial"/>
          <w:color w:val="404040" w:themeColor="text1" w:themeTint="BF"/>
          <w:lang w:val="pt-PT"/>
        </w:rPr>
        <w:t xml:space="preserve"> </w:t>
      </w:r>
      <w:proofErr w:type="spellStart"/>
      <w:r w:rsidRPr="007547A2">
        <w:rPr>
          <w:rFonts w:ascii="Arial" w:hAnsi="Arial" w:cs="Arial"/>
          <w:color w:val="404040" w:themeColor="text1" w:themeTint="BF"/>
          <w:lang w:val="pt-PT"/>
        </w:rPr>
        <w:t>Based</w:t>
      </w:r>
      <w:proofErr w:type="spellEnd"/>
      <w:r w:rsidRPr="007547A2">
        <w:rPr>
          <w:rFonts w:ascii="Arial" w:hAnsi="Arial" w:cs="Arial"/>
          <w:color w:val="404040" w:themeColor="text1" w:themeTint="BF"/>
          <w:lang w:val="pt-PT"/>
        </w:rPr>
        <w:t xml:space="preserve"> </w:t>
      </w:r>
      <w:proofErr w:type="spellStart"/>
      <w:r w:rsidRPr="007547A2">
        <w:rPr>
          <w:rFonts w:ascii="Arial" w:hAnsi="Arial" w:cs="Arial"/>
          <w:color w:val="404040" w:themeColor="text1" w:themeTint="BF"/>
          <w:lang w:val="pt-PT"/>
        </w:rPr>
        <w:t>Targets</w:t>
      </w:r>
      <w:proofErr w:type="spellEnd"/>
      <w:r w:rsidRPr="007547A2">
        <w:rPr>
          <w:rFonts w:ascii="Arial" w:hAnsi="Arial" w:cs="Arial"/>
          <w:color w:val="404040" w:themeColor="text1" w:themeTint="BF"/>
          <w:lang w:val="pt-PT"/>
        </w:rPr>
        <w:t xml:space="preserve"> </w:t>
      </w:r>
      <w:proofErr w:type="spellStart"/>
      <w:r w:rsidRPr="007547A2">
        <w:rPr>
          <w:rFonts w:ascii="Arial" w:hAnsi="Arial" w:cs="Arial"/>
          <w:color w:val="404040" w:themeColor="text1" w:themeTint="BF"/>
          <w:lang w:val="pt-PT"/>
        </w:rPr>
        <w:t>initiative</w:t>
      </w:r>
      <w:proofErr w:type="spellEnd"/>
      <w:r>
        <w:rPr>
          <w:rFonts w:ascii="Arial" w:hAnsi="Arial" w:cs="Arial"/>
          <w:color w:val="404040" w:themeColor="text1" w:themeTint="BF"/>
          <w:lang w:val="pt-PT"/>
        </w:rPr>
        <w:t>].</w:t>
      </w:r>
      <w:r>
        <w:rPr>
          <w:rFonts w:ascii="Arial" w:hAnsi="Arial" w:cs="Arial"/>
          <w:color w:val="404040" w:themeColor="text1" w:themeTint="BF"/>
          <w:lang w:val="pt-PT"/>
        </w:rPr>
        <w:br/>
      </w:r>
    </w:p>
    <w:p w14:paraId="318B29DC" w14:textId="77777777" w:rsidR="00310590" w:rsidRPr="00781F53" w:rsidRDefault="00310590" w:rsidP="00310590">
      <w:pPr>
        <w:spacing w:after="60" w:line="276" w:lineRule="auto"/>
        <w:ind w:right="-425"/>
        <w:rPr>
          <w:rFonts w:ascii="Arial" w:hAnsi="Arial" w:cs="Arial"/>
          <w:b/>
          <w:bCs/>
          <w:color w:val="404040" w:themeColor="text1" w:themeTint="BF"/>
          <w:lang w:val="pt-PT"/>
        </w:rPr>
      </w:pPr>
      <w:r>
        <w:rPr>
          <w:rFonts w:ascii="Arial" w:hAnsi="Arial" w:cs="Arial"/>
          <w:b/>
          <w:bCs/>
          <w:color w:val="404040" w:themeColor="text1" w:themeTint="BF"/>
          <w:lang w:val="pt-PT"/>
        </w:rPr>
        <w:t xml:space="preserve">PERSPETIVAS PARA </w:t>
      </w:r>
      <w:r w:rsidRPr="00781F53">
        <w:rPr>
          <w:rFonts w:ascii="Arial" w:hAnsi="Arial" w:cs="Arial"/>
          <w:b/>
          <w:bCs/>
          <w:color w:val="404040" w:themeColor="text1" w:themeTint="BF"/>
          <w:lang w:val="pt-PT"/>
        </w:rPr>
        <w:t>2022</w:t>
      </w:r>
    </w:p>
    <w:p w14:paraId="42D19CC3" w14:textId="77777777" w:rsidR="00310590"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A guerra na Ucrânia, os aumentos de preço de energia a ela associados e a aceleração de uma inflação já em crescimento apresenta desafios para 2022 quer pelo lado da procura como dos custos, trazendo consigo elevados níveis de incerteza relativamente à procura por parte dos consumidores bem como das condições de operação.</w:t>
      </w:r>
    </w:p>
    <w:p w14:paraId="7E77B562" w14:textId="77777777" w:rsidR="00310590" w:rsidRPr="00781F53" w:rsidRDefault="00310590" w:rsidP="0031059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 xml:space="preserve">A </w:t>
      </w:r>
      <w:proofErr w:type="spellStart"/>
      <w:r w:rsidRPr="00781F53">
        <w:rPr>
          <w:rFonts w:ascii="Arial" w:hAnsi="Arial" w:cs="Arial"/>
          <w:color w:val="404040" w:themeColor="text1" w:themeTint="BF"/>
          <w:lang w:val="pt-PT"/>
        </w:rPr>
        <w:t>InPost</w:t>
      </w:r>
      <w:proofErr w:type="spellEnd"/>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espera crescer acima do mercado e todas as suas principais geografias, dada as suas vantagens estratégicas de conveniência e sustentabilidade, bem como vantagens de custos crescentes para as lojas no contexto de um ambiente altamente inflacionário.</w:t>
      </w:r>
      <w:r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A pressão de custos mais elevados para as entregas porta-a-porta significam que a vantagem estrutural competitiva da </w:t>
      </w:r>
      <w:proofErr w:type="spellStart"/>
      <w:r w:rsidRPr="00781F53">
        <w:rPr>
          <w:rFonts w:ascii="Arial" w:hAnsi="Arial" w:cs="Arial"/>
          <w:color w:val="404040" w:themeColor="text1" w:themeTint="BF"/>
          <w:lang w:val="pt-PT"/>
        </w:rPr>
        <w:t>InPost</w:t>
      </w:r>
      <w:proofErr w:type="spellEnd"/>
      <w:r>
        <w:rPr>
          <w:rFonts w:ascii="Arial" w:hAnsi="Arial" w:cs="Arial"/>
          <w:color w:val="404040" w:themeColor="text1" w:themeTint="BF"/>
          <w:lang w:val="pt-PT"/>
        </w:rPr>
        <w:t xml:space="preserve"> deverá alargar-se ainda mais, à medida a que espera continuar a ganhar quota de mercado</w:t>
      </w:r>
      <w:r w:rsidRPr="00781F53">
        <w:rPr>
          <w:rFonts w:ascii="Arial" w:hAnsi="Arial" w:cs="Arial"/>
          <w:color w:val="404040" w:themeColor="text1" w:themeTint="BF"/>
          <w:lang w:val="pt-PT"/>
        </w:rPr>
        <w:t>.</w:t>
      </w:r>
    </w:p>
    <w:p w14:paraId="6D866132" w14:textId="5D52DC1A" w:rsidR="20E96E51" w:rsidRPr="00781F53" w:rsidRDefault="00310590" w:rsidP="00310590">
      <w:pPr>
        <w:pStyle w:val="PargrafodaLista"/>
        <w:numPr>
          <w:ilvl w:val="0"/>
          <w:numId w:val="4"/>
        </w:numPr>
        <w:spacing w:after="60" w:line="276" w:lineRule="auto"/>
        <w:ind w:left="714" w:right="-425" w:hanging="357"/>
        <w:contextualSpacing w:val="0"/>
        <w:rPr>
          <w:rFonts w:ascii="Arial" w:eastAsiaTheme="minorEastAsia" w:hAnsi="Arial" w:cs="Arial"/>
          <w:color w:val="404040" w:themeColor="text1" w:themeTint="BF"/>
          <w:lang w:val="pt-PT"/>
        </w:rPr>
      </w:pPr>
      <w:r>
        <w:rPr>
          <w:rFonts w:ascii="Arial" w:hAnsi="Arial" w:cs="Arial"/>
          <w:color w:val="404040" w:themeColor="text1" w:themeTint="BF"/>
          <w:lang w:val="pt-PT"/>
        </w:rPr>
        <w:t>No entanto, com os ajustamentos de preços a não acompanharem o aumento dos custos, a pressão sobre as margens deverá materializar-se em 2022. A tendência relativa às despesas de capital irá refletir a oportunidade de melhorar a experiência dos consumidores franceses através da automação</w:t>
      </w:r>
      <w:r w:rsidRPr="00781F53">
        <w:rPr>
          <w:rFonts w:ascii="Arial" w:hAnsi="Arial" w:cs="Arial"/>
          <w:color w:val="404040" w:themeColor="text1" w:themeTint="BF"/>
          <w:lang w:val="pt-PT"/>
        </w:rPr>
        <w:t>.</w:t>
      </w:r>
      <w:r w:rsidR="00F55096">
        <w:rPr>
          <w:rFonts w:ascii="Arial" w:hAnsi="Arial" w:cs="Arial"/>
          <w:color w:val="404040" w:themeColor="text1" w:themeTint="BF"/>
          <w:lang w:val="pt-PT"/>
        </w:rPr>
        <w:br/>
      </w:r>
    </w:p>
    <w:p w14:paraId="1D5351DA" w14:textId="4A60D38F" w:rsidR="20E96E51" w:rsidRPr="00781F53" w:rsidRDefault="20E96E51" w:rsidP="00781F53">
      <w:pPr>
        <w:spacing w:after="60" w:line="276" w:lineRule="auto"/>
        <w:ind w:right="-425"/>
        <w:rPr>
          <w:rFonts w:ascii="Arial" w:hAnsi="Arial" w:cs="Arial"/>
          <w:b/>
          <w:bCs/>
          <w:color w:val="404040" w:themeColor="text1" w:themeTint="BF"/>
          <w:lang w:val="pt-PT"/>
        </w:rPr>
      </w:pPr>
      <w:r w:rsidRPr="00781F53">
        <w:rPr>
          <w:rFonts w:ascii="Arial" w:hAnsi="Arial" w:cs="Arial"/>
          <w:b/>
          <w:bCs/>
          <w:color w:val="404040" w:themeColor="text1" w:themeTint="BF"/>
          <w:lang w:val="pt-PT"/>
        </w:rPr>
        <w:t>AUDIO WEBCAST</w:t>
      </w:r>
      <w:r w:rsidR="005470BF" w:rsidRPr="00781F53">
        <w:rPr>
          <w:rFonts w:ascii="Arial" w:hAnsi="Arial" w:cs="Arial"/>
          <w:b/>
          <w:bCs/>
          <w:color w:val="404040" w:themeColor="text1" w:themeTint="BF"/>
          <w:lang w:val="pt-PT"/>
        </w:rPr>
        <w:t xml:space="preserve"> &amp; </w:t>
      </w:r>
      <w:r w:rsidR="0084263D">
        <w:rPr>
          <w:rFonts w:ascii="Arial" w:hAnsi="Arial" w:cs="Arial"/>
          <w:b/>
          <w:bCs/>
          <w:color w:val="404040" w:themeColor="text1" w:themeTint="BF"/>
          <w:lang w:val="pt-PT"/>
        </w:rPr>
        <w:t>RELATÓRIO ANUAL</w:t>
      </w:r>
    </w:p>
    <w:p w14:paraId="2F141A61" w14:textId="35FA8270" w:rsidR="005470BF" w:rsidRPr="00781F53" w:rsidRDefault="00880D43"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proofErr w:type="spellStart"/>
      <w:r w:rsidRPr="00781F53">
        <w:rPr>
          <w:rFonts w:ascii="Arial" w:hAnsi="Arial" w:cs="Arial"/>
          <w:color w:val="404040" w:themeColor="text1" w:themeTint="BF"/>
          <w:lang w:val="pt-PT"/>
        </w:rPr>
        <w:t>Rafal</w:t>
      </w:r>
      <w:proofErr w:type="spellEnd"/>
      <w:r w:rsidRPr="00781F53">
        <w:rPr>
          <w:rFonts w:ascii="Arial" w:hAnsi="Arial" w:cs="Arial"/>
          <w:color w:val="404040" w:themeColor="text1" w:themeTint="BF"/>
          <w:lang w:val="pt-PT"/>
        </w:rPr>
        <w:t xml:space="preserve"> </w:t>
      </w:r>
      <w:proofErr w:type="spellStart"/>
      <w:r w:rsidRPr="00781F53">
        <w:rPr>
          <w:rFonts w:ascii="Arial" w:hAnsi="Arial" w:cs="Arial"/>
          <w:color w:val="404040" w:themeColor="text1" w:themeTint="BF"/>
          <w:lang w:val="pt-PT"/>
        </w:rPr>
        <w:t>Brzoska</w:t>
      </w:r>
      <w:proofErr w:type="spellEnd"/>
      <w:r w:rsidRPr="00781F53">
        <w:rPr>
          <w:rFonts w:ascii="Arial" w:hAnsi="Arial" w:cs="Arial"/>
          <w:color w:val="404040" w:themeColor="text1" w:themeTint="BF"/>
          <w:lang w:val="pt-PT"/>
        </w:rPr>
        <w:t xml:space="preserve"> (</w:t>
      </w:r>
      <w:r w:rsidR="0084263D">
        <w:rPr>
          <w:rFonts w:ascii="Arial" w:hAnsi="Arial" w:cs="Arial"/>
          <w:color w:val="404040" w:themeColor="text1" w:themeTint="BF"/>
          <w:lang w:val="pt-PT"/>
        </w:rPr>
        <w:t xml:space="preserve">fundador e </w:t>
      </w:r>
      <w:r w:rsidRPr="00781F53">
        <w:rPr>
          <w:rFonts w:ascii="Arial" w:hAnsi="Arial" w:cs="Arial"/>
          <w:color w:val="404040" w:themeColor="text1" w:themeTint="BF"/>
          <w:lang w:val="pt-PT"/>
        </w:rPr>
        <w:t xml:space="preserve">CEO), Michael </w:t>
      </w:r>
      <w:proofErr w:type="spellStart"/>
      <w:r w:rsidRPr="00781F53">
        <w:rPr>
          <w:rFonts w:ascii="Arial" w:hAnsi="Arial" w:cs="Arial"/>
          <w:color w:val="404040" w:themeColor="text1" w:themeTint="BF"/>
          <w:lang w:val="pt-PT"/>
        </w:rPr>
        <w:t>Rouse</w:t>
      </w:r>
      <w:proofErr w:type="spellEnd"/>
      <w:r w:rsidRPr="00781F53">
        <w:rPr>
          <w:rFonts w:ascii="Arial" w:hAnsi="Arial" w:cs="Arial"/>
          <w:color w:val="404040" w:themeColor="text1" w:themeTint="BF"/>
          <w:lang w:val="pt-PT"/>
        </w:rPr>
        <w:t xml:space="preserve"> (CEO Interna</w:t>
      </w:r>
      <w:r w:rsidR="0084263D">
        <w:rPr>
          <w:rFonts w:ascii="Arial" w:hAnsi="Arial" w:cs="Arial"/>
          <w:color w:val="404040" w:themeColor="text1" w:themeTint="BF"/>
          <w:lang w:val="pt-PT"/>
        </w:rPr>
        <w:t>c</w:t>
      </w:r>
      <w:r w:rsidRPr="00781F53">
        <w:rPr>
          <w:rFonts w:ascii="Arial" w:hAnsi="Arial" w:cs="Arial"/>
          <w:color w:val="404040" w:themeColor="text1" w:themeTint="BF"/>
          <w:lang w:val="pt-PT"/>
        </w:rPr>
        <w:t xml:space="preserve">ional) </w:t>
      </w:r>
      <w:r w:rsidR="0084263D">
        <w:rPr>
          <w:rFonts w:ascii="Arial" w:hAnsi="Arial" w:cs="Arial"/>
          <w:color w:val="404040" w:themeColor="text1" w:themeTint="BF"/>
          <w:lang w:val="pt-PT"/>
        </w:rPr>
        <w:t xml:space="preserve">e </w:t>
      </w:r>
      <w:r w:rsidRPr="00781F53">
        <w:rPr>
          <w:rFonts w:ascii="Arial" w:hAnsi="Arial" w:cs="Arial"/>
          <w:color w:val="404040" w:themeColor="text1" w:themeTint="BF"/>
          <w:lang w:val="pt-PT"/>
        </w:rPr>
        <w:t xml:space="preserve">Adam </w:t>
      </w:r>
      <w:proofErr w:type="spellStart"/>
      <w:r w:rsidRPr="00781F53">
        <w:rPr>
          <w:rFonts w:ascii="Arial" w:hAnsi="Arial" w:cs="Arial"/>
          <w:color w:val="404040" w:themeColor="text1" w:themeTint="BF"/>
          <w:lang w:val="pt-PT"/>
        </w:rPr>
        <w:t>Aleksandrowicz</w:t>
      </w:r>
      <w:proofErr w:type="spellEnd"/>
      <w:r w:rsidRPr="00781F53">
        <w:rPr>
          <w:rFonts w:ascii="Arial" w:hAnsi="Arial" w:cs="Arial"/>
          <w:color w:val="404040" w:themeColor="text1" w:themeTint="BF"/>
          <w:lang w:val="pt-PT"/>
        </w:rPr>
        <w:t xml:space="preserve"> (CFO</w:t>
      </w:r>
      <w:r w:rsidR="0084263D">
        <w:rPr>
          <w:rFonts w:ascii="Arial" w:hAnsi="Arial" w:cs="Arial"/>
          <w:color w:val="404040" w:themeColor="text1" w:themeTint="BF"/>
          <w:lang w:val="pt-PT"/>
        </w:rPr>
        <w:t xml:space="preserve"> do grupo</w:t>
      </w:r>
      <w:r w:rsidRPr="00781F53">
        <w:rPr>
          <w:rFonts w:ascii="Arial" w:hAnsi="Arial" w:cs="Arial"/>
          <w:color w:val="404040" w:themeColor="text1" w:themeTint="BF"/>
          <w:lang w:val="pt-PT"/>
        </w:rPr>
        <w:t xml:space="preserve">) </w:t>
      </w:r>
      <w:r w:rsidR="0084263D">
        <w:rPr>
          <w:rFonts w:ascii="Arial" w:hAnsi="Arial" w:cs="Arial"/>
          <w:color w:val="404040" w:themeColor="text1" w:themeTint="BF"/>
          <w:lang w:val="pt-PT"/>
        </w:rPr>
        <w:t xml:space="preserve">irão </w:t>
      </w:r>
      <w:r w:rsidR="00285EBC">
        <w:rPr>
          <w:rFonts w:ascii="Arial" w:hAnsi="Arial" w:cs="Arial"/>
          <w:color w:val="404040" w:themeColor="text1" w:themeTint="BF"/>
          <w:lang w:val="pt-PT"/>
        </w:rPr>
        <w:t xml:space="preserve">dar estar numa videoconferência para analistas e investidores hoje, às </w:t>
      </w:r>
      <w:r w:rsidRPr="00781F53">
        <w:rPr>
          <w:rFonts w:ascii="Arial" w:hAnsi="Arial" w:cs="Arial"/>
          <w:color w:val="404040" w:themeColor="text1" w:themeTint="BF"/>
          <w:lang w:val="pt-PT"/>
        </w:rPr>
        <w:t>10</w:t>
      </w:r>
      <w:r w:rsidR="00285EBC">
        <w:rPr>
          <w:rFonts w:ascii="Arial" w:hAnsi="Arial" w:cs="Arial"/>
          <w:color w:val="404040" w:themeColor="text1" w:themeTint="BF"/>
          <w:lang w:val="pt-PT"/>
        </w:rPr>
        <w:t>h00</w:t>
      </w:r>
      <w:r w:rsidRPr="00781F53">
        <w:rPr>
          <w:rFonts w:ascii="Arial" w:hAnsi="Arial" w:cs="Arial"/>
          <w:color w:val="404040" w:themeColor="text1" w:themeTint="BF"/>
          <w:lang w:val="pt-PT"/>
        </w:rPr>
        <w:t xml:space="preserve"> CET</w:t>
      </w:r>
      <w:r w:rsidR="008B1DD0" w:rsidRPr="00781F53">
        <w:rPr>
          <w:rFonts w:ascii="Arial" w:hAnsi="Arial" w:cs="Arial"/>
          <w:color w:val="404040" w:themeColor="text1" w:themeTint="BF"/>
          <w:lang w:val="pt-PT"/>
        </w:rPr>
        <w:t xml:space="preserve"> </w:t>
      </w:r>
      <w:r w:rsidR="00285EBC">
        <w:rPr>
          <w:rFonts w:ascii="Arial" w:hAnsi="Arial" w:cs="Arial"/>
          <w:color w:val="404040" w:themeColor="text1" w:themeTint="BF"/>
          <w:lang w:val="pt-PT"/>
        </w:rPr>
        <w:t xml:space="preserve">(quinta-feira, </w:t>
      </w:r>
      <w:r w:rsidRPr="00781F53">
        <w:rPr>
          <w:rFonts w:ascii="Arial" w:hAnsi="Arial" w:cs="Arial"/>
          <w:color w:val="404040" w:themeColor="text1" w:themeTint="BF"/>
          <w:lang w:val="pt-PT"/>
        </w:rPr>
        <w:t xml:space="preserve">31 </w:t>
      </w:r>
      <w:r w:rsidR="00285EBC">
        <w:rPr>
          <w:rFonts w:ascii="Arial" w:hAnsi="Arial" w:cs="Arial"/>
          <w:color w:val="404040" w:themeColor="text1" w:themeTint="BF"/>
          <w:lang w:val="pt-PT"/>
        </w:rPr>
        <w:t xml:space="preserve">de março de </w:t>
      </w:r>
      <w:r w:rsidRPr="00781F53">
        <w:rPr>
          <w:rFonts w:ascii="Arial" w:hAnsi="Arial" w:cs="Arial"/>
          <w:color w:val="404040" w:themeColor="text1" w:themeTint="BF"/>
          <w:lang w:val="pt-PT"/>
        </w:rPr>
        <w:t>2022</w:t>
      </w:r>
      <w:r w:rsidR="00285EBC">
        <w:rPr>
          <w:rFonts w:ascii="Arial" w:hAnsi="Arial" w:cs="Arial"/>
          <w:color w:val="404040" w:themeColor="text1" w:themeTint="BF"/>
          <w:lang w:val="pt-PT"/>
        </w:rPr>
        <w:t>)</w:t>
      </w:r>
      <w:r w:rsidRPr="00781F53">
        <w:rPr>
          <w:rFonts w:ascii="Arial" w:hAnsi="Arial" w:cs="Arial"/>
          <w:color w:val="404040" w:themeColor="text1" w:themeTint="BF"/>
          <w:lang w:val="pt-PT"/>
        </w:rPr>
        <w:t xml:space="preserve"> </w:t>
      </w:r>
      <w:r w:rsidR="00285EBC">
        <w:rPr>
          <w:rFonts w:ascii="Arial" w:hAnsi="Arial" w:cs="Arial"/>
          <w:color w:val="404040" w:themeColor="text1" w:themeTint="BF"/>
          <w:lang w:val="pt-PT"/>
        </w:rPr>
        <w:t>via</w:t>
      </w:r>
      <w:r w:rsidRPr="00781F53">
        <w:rPr>
          <w:rFonts w:ascii="Arial" w:hAnsi="Arial" w:cs="Arial"/>
          <w:color w:val="404040" w:themeColor="text1" w:themeTint="BF"/>
          <w:lang w:val="pt-PT"/>
        </w:rPr>
        <w:t xml:space="preserve"> </w:t>
      </w:r>
      <w:hyperlink r:id="rId11" w:history="1">
        <w:r w:rsidR="006475FE" w:rsidRPr="00781F53">
          <w:rPr>
            <w:rStyle w:val="Hiperligao"/>
            <w:rFonts w:ascii="Arial" w:hAnsi="Arial" w:cs="Arial"/>
            <w:lang w:val="pt-PT"/>
          </w:rPr>
          <w:t>https://webcasting.brrmedia.co.uk/broadcast/6225e488969a0548ac0c34b1</w:t>
        </w:r>
      </w:hyperlink>
    </w:p>
    <w:p w14:paraId="00B24F09" w14:textId="7AA37406" w:rsidR="7CD69C3A" w:rsidRPr="00781F53" w:rsidRDefault="00285EBC"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 xml:space="preserve">A </w:t>
      </w:r>
      <w:proofErr w:type="spellStart"/>
      <w:r w:rsidR="006475FE" w:rsidRPr="00781F53">
        <w:rPr>
          <w:rFonts w:ascii="Arial" w:hAnsi="Arial" w:cs="Arial"/>
          <w:color w:val="404040" w:themeColor="text1" w:themeTint="BF"/>
          <w:lang w:val="pt-PT"/>
        </w:rPr>
        <w:t>InPost</w:t>
      </w:r>
      <w:proofErr w:type="spellEnd"/>
      <w:r w:rsidR="006475FE"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publicou hoje o seu Relatório Anual Integrado de </w:t>
      </w:r>
      <w:r w:rsidR="006475FE" w:rsidRPr="00781F53">
        <w:rPr>
          <w:rFonts w:ascii="Arial" w:hAnsi="Arial" w:cs="Arial"/>
          <w:color w:val="404040" w:themeColor="text1" w:themeTint="BF"/>
          <w:lang w:val="pt-PT"/>
        </w:rPr>
        <w:t xml:space="preserve">2021 </w:t>
      </w:r>
      <w:r>
        <w:rPr>
          <w:rFonts w:ascii="Arial" w:hAnsi="Arial" w:cs="Arial"/>
          <w:color w:val="404040" w:themeColor="text1" w:themeTint="BF"/>
          <w:lang w:val="pt-PT"/>
        </w:rPr>
        <w:t xml:space="preserve">no seu </w:t>
      </w:r>
      <w:proofErr w:type="gramStart"/>
      <w:r w:rsidR="006475FE" w:rsidRPr="00781F53">
        <w:rPr>
          <w:rFonts w:ascii="Arial" w:hAnsi="Arial" w:cs="Arial"/>
          <w:color w:val="404040" w:themeColor="text1" w:themeTint="BF"/>
          <w:lang w:val="pt-PT"/>
        </w:rPr>
        <w:t>website</w:t>
      </w:r>
      <w:proofErr w:type="gramEnd"/>
      <w:r w:rsidR="006475FE" w:rsidRPr="00781F53">
        <w:rPr>
          <w:rFonts w:ascii="Arial" w:hAnsi="Arial" w:cs="Arial"/>
          <w:color w:val="404040" w:themeColor="text1" w:themeTint="BF"/>
          <w:lang w:val="pt-PT"/>
        </w:rPr>
        <w:t xml:space="preserve"> </w:t>
      </w:r>
      <w:r>
        <w:rPr>
          <w:rFonts w:ascii="Arial" w:hAnsi="Arial" w:cs="Arial"/>
          <w:color w:val="404040" w:themeColor="text1" w:themeTint="BF"/>
          <w:lang w:val="pt-PT"/>
        </w:rPr>
        <w:t xml:space="preserve">em </w:t>
      </w:r>
      <w:hyperlink r:id="rId12" w:history="1">
        <w:r w:rsidRPr="007853ED">
          <w:rPr>
            <w:rStyle w:val="Hiperligao"/>
            <w:rFonts w:ascii="Arial" w:hAnsi="Arial" w:cs="Arial"/>
            <w:lang w:val="pt-PT"/>
          </w:rPr>
          <w:t>www.inpost.eu/investors</w:t>
        </w:r>
      </w:hyperlink>
    </w:p>
    <w:p w14:paraId="49DC4D8D" w14:textId="589599B1" w:rsidR="00880D43" w:rsidRPr="00781F53" w:rsidRDefault="00285EBC" w:rsidP="00781F53">
      <w:pPr>
        <w:spacing w:before="360" w:after="60" w:line="276" w:lineRule="auto"/>
        <w:ind w:right="-425"/>
        <w:rPr>
          <w:rFonts w:ascii="Arial" w:hAnsi="Arial" w:cs="Arial"/>
          <w:b/>
          <w:color w:val="404040" w:themeColor="text1" w:themeTint="BF"/>
          <w:lang w:val="pt-PT"/>
        </w:rPr>
      </w:pPr>
      <w:r>
        <w:rPr>
          <w:rFonts w:ascii="Arial" w:hAnsi="Arial" w:cs="Arial"/>
          <w:b/>
          <w:color w:val="404040" w:themeColor="text1" w:themeTint="BF"/>
          <w:lang w:val="pt-PT"/>
        </w:rPr>
        <w:t>POLÓNIA</w:t>
      </w:r>
      <w:r w:rsidR="00880D43" w:rsidRPr="00781F53">
        <w:rPr>
          <w:rFonts w:ascii="Arial" w:hAnsi="Arial" w:cs="Arial"/>
          <w:b/>
          <w:color w:val="404040" w:themeColor="text1" w:themeTint="BF"/>
          <w:lang w:val="pt-PT"/>
        </w:rPr>
        <w:t xml:space="preserve">: </w:t>
      </w:r>
      <w:r>
        <w:rPr>
          <w:rFonts w:ascii="Arial" w:hAnsi="Arial" w:cs="Arial"/>
          <w:b/>
          <w:color w:val="404040" w:themeColor="text1" w:themeTint="BF"/>
          <w:lang w:val="pt-PT"/>
        </w:rPr>
        <w:t>“</w:t>
      </w:r>
      <w:r w:rsidR="00880D43" w:rsidRPr="00781F53">
        <w:rPr>
          <w:rFonts w:ascii="Arial" w:hAnsi="Arial" w:cs="Arial"/>
          <w:b/>
          <w:color w:val="404040" w:themeColor="text1" w:themeTint="BF"/>
          <w:lang w:val="pt-PT"/>
        </w:rPr>
        <w:t>APM MOAT</w:t>
      </w:r>
      <w:r>
        <w:rPr>
          <w:rFonts w:ascii="Arial" w:hAnsi="Arial" w:cs="Arial"/>
          <w:b/>
          <w:color w:val="404040" w:themeColor="text1" w:themeTint="BF"/>
          <w:lang w:val="pt-PT"/>
        </w:rPr>
        <w:t>”</w:t>
      </w:r>
      <w:r w:rsidR="00880D43" w:rsidRPr="00781F53">
        <w:rPr>
          <w:rFonts w:ascii="Arial" w:hAnsi="Arial" w:cs="Arial"/>
          <w:b/>
          <w:color w:val="404040" w:themeColor="text1" w:themeTint="BF"/>
          <w:lang w:val="pt-PT"/>
        </w:rPr>
        <w:t xml:space="preserve"> </w:t>
      </w:r>
      <w:r>
        <w:rPr>
          <w:rFonts w:ascii="Arial" w:hAnsi="Arial" w:cs="Arial"/>
          <w:b/>
          <w:color w:val="404040" w:themeColor="text1" w:themeTint="BF"/>
          <w:lang w:val="pt-PT"/>
        </w:rPr>
        <w:t xml:space="preserve">FORTE E COMPETITIVO </w:t>
      </w:r>
      <w:r w:rsidR="00880D43" w:rsidRPr="00781F53">
        <w:rPr>
          <w:rFonts w:ascii="Arial" w:hAnsi="Arial" w:cs="Arial"/>
          <w:b/>
          <w:color w:val="404040" w:themeColor="text1" w:themeTint="BF"/>
          <w:lang w:val="pt-PT"/>
        </w:rPr>
        <w:t xml:space="preserve">&amp; </w:t>
      </w:r>
      <w:r>
        <w:rPr>
          <w:rFonts w:ascii="Arial" w:hAnsi="Arial" w:cs="Arial"/>
          <w:b/>
          <w:color w:val="404040" w:themeColor="text1" w:themeTint="BF"/>
          <w:lang w:val="pt-PT"/>
        </w:rPr>
        <w:t>QUOTA DE MERCADO EM CRESCIMENTO</w:t>
      </w:r>
    </w:p>
    <w:p w14:paraId="239805D2" w14:textId="4C5FFBFC" w:rsidR="00880D43" w:rsidRPr="00781F53" w:rsidRDefault="005C5572"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C5572">
        <w:rPr>
          <w:rFonts w:ascii="Arial" w:hAnsi="Arial" w:cs="Arial"/>
          <w:color w:val="404040" w:themeColor="text1" w:themeTint="BF"/>
          <w:lang w:val="pt-PT"/>
        </w:rPr>
        <w:t xml:space="preserve">O crescimento </w:t>
      </w:r>
      <w:r>
        <w:rPr>
          <w:rFonts w:ascii="Arial" w:hAnsi="Arial" w:cs="Arial"/>
          <w:color w:val="404040" w:themeColor="text1" w:themeTint="BF"/>
          <w:lang w:val="pt-PT"/>
        </w:rPr>
        <w:t xml:space="preserve">na Polónia </w:t>
      </w:r>
      <w:r w:rsidRPr="005C5572">
        <w:rPr>
          <w:rFonts w:ascii="Arial" w:hAnsi="Arial" w:cs="Arial"/>
          <w:color w:val="404040" w:themeColor="text1" w:themeTint="BF"/>
          <w:lang w:val="pt-PT"/>
        </w:rPr>
        <w:t>d</w:t>
      </w:r>
      <w:r>
        <w:rPr>
          <w:rFonts w:ascii="Arial" w:hAnsi="Arial" w:cs="Arial"/>
          <w:color w:val="404040" w:themeColor="text1" w:themeTint="BF"/>
          <w:lang w:val="pt-PT"/>
        </w:rPr>
        <w:t>a</w:t>
      </w:r>
      <w:r w:rsidRPr="005C5572">
        <w:rPr>
          <w:rFonts w:ascii="Arial" w:hAnsi="Arial" w:cs="Arial"/>
          <w:color w:val="404040" w:themeColor="text1" w:themeTint="BF"/>
          <w:lang w:val="pt-PT"/>
        </w:rPr>
        <w:t xml:space="preserve"> </w:t>
      </w:r>
      <w:proofErr w:type="spellStart"/>
      <w:r w:rsidRPr="005C5572">
        <w:rPr>
          <w:rFonts w:ascii="Arial" w:hAnsi="Arial" w:cs="Arial"/>
          <w:color w:val="404040" w:themeColor="text1" w:themeTint="BF"/>
          <w:lang w:val="pt-PT"/>
        </w:rPr>
        <w:t>InPost</w:t>
      </w:r>
      <w:proofErr w:type="spellEnd"/>
      <w:r w:rsidRPr="005C5572">
        <w:rPr>
          <w:rFonts w:ascii="Arial" w:hAnsi="Arial" w:cs="Arial"/>
          <w:color w:val="404040" w:themeColor="text1" w:themeTint="BF"/>
          <w:lang w:val="pt-PT"/>
        </w:rPr>
        <w:t xml:space="preserve"> ultrapassou o mercado em todos os principais segmentos de clientes. Isto refletiu uma adoção ainda crescente por parte dos consumidores e um crescimento incremental positivo da cobertura adicional da população de </w:t>
      </w:r>
      <w:proofErr w:type="spellStart"/>
      <w:r w:rsidRPr="005C5572">
        <w:rPr>
          <w:rFonts w:ascii="Arial" w:hAnsi="Arial" w:cs="Arial"/>
          <w:color w:val="404040" w:themeColor="text1" w:themeTint="BF"/>
          <w:lang w:val="pt-PT"/>
        </w:rPr>
        <w:t>APMs</w:t>
      </w:r>
      <w:proofErr w:type="spellEnd"/>
      <w:r w:rsidRPr="005C5572">
        <w:rPr>
          <w:rFonts w:ascii="Arial" w:hAnsi="Arial" w:cs="Arial"/>
          <w:color w:val="404040" w:themeColor="text1" w:themeTint="BF"/>
          <w:lang w:val="pt-PT"/>
        </w:rPr>
        <w:t xml:space="preserve">. Globalmente, a quota </w:t>
      </w:r>
      <w:r w:rsidR="00052BEF">
        <w:rPr>
          <w:rFonts w:ascii="Arial" w:hAnsi="Arial" w:cs="Arial"/>
          <w:color w:val="404040" w:themeColor="text1" w:themeTint="BF"/>
          <w:lang w:val="pt-PT"/>
        </w:rPr>
        <w:t xml:space="preserve">em </w:t>
      </w:r>
      <w:r w:rsidRPr="005C5572">
        <w:rPr>
          <w:rFonts w:ascii="Arial" w:hAnsi="Arial" w:cs="Arial"/>
          <w:color w:val="404040" w:themeColor="text1" w:themeTint="BF"/>
          <w:lang w:val="pt-PT"/>
        </w:rPr>
        <w:t>volume d</w:t>
      </w:r>
      <w:r w:rsidR="00052BEF">
        <w:rPr>
          <w:rFonts w:ascii="Arial" w:hAnsi="Arial" w:cs="Arial"/>
          <w:color w:val="404040" w:themeColor="text1" w:themeTint="BF"/>
          <w:lang w:val="pt-PT"/>
        </w:rPr>
        <w:t>a</w:t>
      </w:r>
      <w:r w:rsidRPr="005C5572">
        <w:rPr>
          <w:rFonts w:ascii="Arial" w:hAnsi="Arial" w:cs="Arial"/>
          <w:color w:val="404040" w:themeColor="text1" w:themeTint="BF"/>
          <w:lang w:val="pt-PT"/>
        </w:rPr>
        <w:t xml:space="preserve"> </w:t>
      </w:r>
      <w:proofErr w:type="spellStart"/>
      <w:r w:rsidRPr="005C5572">
        <w:rPr>
          <w:rFonts w:ascii="Arial" w:hAnsi="Arial" w:cs="Arial"/>
          <w:color w:val="404040" w:themeColor="text1" w:themeTint="BF"/>
          <w:lang w:val="pt-PT"/>
        </w:rPr>
        <w:t>InPost</w:t>
      </w:r>
      <w:proofErr w:type="spellEnd"/>
      <w:r w:rsidRPr="005C5572">
        <w:rPr>
          <w:rFonts w:ascii="Arial" w:hAnsi="Arial" w:cs="Arial"/>
          <w:color w:val="404040" w:themeColor="text1" w:themeTint="BF"/>
          <w:lang w:val="pt-PT"/>
        </w:rPr>
        <w:t xml:space="preserve"> B2C na Polónia aumentou significativamente em 2021.</w:t>
      </w:r>
      <w:r w:rsidR="00880D43" w:rsidRPr="00781F53">
        <w:rPr>
          <w:rFonts w:ascii="Arial" w:hAnsi="Arial" w:cs="Arial"/>
          <w:color w:val="404040" w:themeColor="text1" w:themeTint="BF"/>
          <w:lang w:val="pt-PT"/>
        </w:rPr>
        <w:t xml:space="preserve"> </w:t>
      </w:r>
    </w:p>
    <w:p w14:paraId="3A99B04E" w14:textId="77777777" w:rsidR="00052BEF" w:rsidRDefault="00052BEF" w:rsidP="0023636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052BEF">
        <w:rPr>
          <w:rFonts w:ascii="Arial" w:hAnsi="Arial" w:cs="Arial"/>
          <w:color w:val="404040" w:themeColor="text1" w:themeTint="BF"/>
          <w:lang w:val="pt-PT"/>
        </w:rPr>
        <w:t xml:space="preserve">O volume das máquinas automáticas de encomendas da </w:t>
      </w:r>
      <w:proofErr w:type="spellStart"/>
      <w:r w:rsidRPr="00052BEF">
        <w:rPr>
          <w:rFonts w:ascii="Arial" w:hAnsi="Arial" w:cs="Arial"/>
          <w:color w:val="404040" w:themeColor="text1" w:themeTint="BF"/>
          <w:lang w:val="pt-PT"/>
        </w:rPr>
        <w:t>InPost</w:t>
      </w:r>
      <w:proofErr w:type="spellEnd"/>
      <w:r w:rsidRPr="00052BEF">
        <w:rPr>
          <w:rFonts w:ascii="Arial" w:hAnsi="Arial" w:cs="Arial"/>
          <w:color w:val="404040" w:themeColor="text1" w:themeTint="BF"/>
          <w:lang w:val="pt-PT"/>
        </w:rPr>
        <w:t xml:space="preserve"> aumentou 44% em 2021 contra 19% de crescimento do volume global do mercado de encomendas. Isto aumentou a quota de mercado B2C da </w:t>
      </w:r>
      <w:proofErr w:type="spellStart"/>
      <w:r w:rsidRPr="00052BEF">
        <w:rPr>
          <w:rFonts w:ascii="Arial" w:hAnsi="Arial" w:cs="Arial"/>
          <w:color w:val="404040" w:themeColor="text1" w:themeTint="BF"/>
          <w:lang w:val="pt-PT"/>
        </w:rPr>
        <w:t>InPost</w:t>
      </w:r>
      <w:proofErr w:type="spellEnd"/>
      <w:r w:rsidRPr="00052BEF">
        <w:rPr>
          <w:rFonts w:ascii="Arial" w:hAnsi="Arial" w:cs="Arial"/>
          <w:color w:val="404040" w:themeColor="text1" w:themeTint="BF"/>
          <w:lang w:val="pt-PT"/>
        </w:rPr>
        <w:t xml:space="preserve"> de 44% em 2020 para 48% em 2021. Os ganhos de quota de mercado continuaram no quarto trimestre, com os volumes de APM </w:t>
      </w:r>
      <w:proofErr w:type="spellStart"/>
      <w:r w:rsidRPr="00052BEF">
        <w:rPr>
          <w:rFonts w:ascii="Arial" w:hAnsi="Arial" w:cs="Arial"/>
          <w:color w:val="404040" w:themeColor="text1" w:themeTint="BF"/>
          <w:lang w:val="pt-PT"/>
        </w:rPr>
        <w:t>InPost</w:t>
      </w:r>
      <w:proofErr w:type="spellEnd"/>
      <w:r w:rsidRPr="00052BEF">
        <w:rPr>
          <w:rFonts w:ascii="Arial" w:hAnsi="Arial" w:cs="Arial"/>
          <w:color w:val="404040" w:themeColor="text1" w:themeTint="BF"/>
          <w:lang w:val="pt-PT"/>
        </w:rPr>
        <w:t xml:space="preserve"> a crescerem 25% no trimestre em relação ao crescimento do mercado, da ordem dos 15%.</w:t>
      </w:r>
    </w:p>
    <w:p w14:paraId="0BF79218" w14:textId="77777777" w:rsidR="00052BEF" w:rsidRDefault="00052BEF" w:rsidP="003F556B">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052BEF">
        <w:rPr>
          <w:rFonts w:ascii="Arial" w:hAnsi="Arial" w:cs="Arial"/>
          <w:color w:val="404040" w:themeColor="text1" w:themeTint="BF"/>
          <w:lang w:val="pt-PT"/>
        </w:rPr>
        <w:t xml:space="preserve">O crescimento das receitas APM para o ano fiscal de 2021 atingiu 44,6%, impulsionando o EBITDA ajustado do ano inteiro para 53% em relação a 2020. A margem EBITDA ajustada da </w:t>
      </w:r>
      <w:proofErr w:type="spellStart"/>
      <w:r w:rsidRPr="00052BEF">
        <w:rPr>
          <w:rFonts w:ascii="Arial" w:hAnsi="Arial" w:cs="Arial"/>
          <w:color w:val="404040" w:themeColor="text1" w:themeTint="BF"/>
          <w:lang w:val="pt-PT"/>
        </w:rPr>
        <w:t>InPost</w:t>
      </w:r>
      <w:proofErr w:type="spellEnd"/>
      <w:r w:rsidRPr="00052BEF">
        <w:rPr>
          <w:rFonts w:ascii="Arial" w:hAnsi="Arial" w:cs="Arial"/>
          <w:color w:val="404040" w:themeColor="text1" w:themeTint="BF"/>
          <w:lang w:val="pt-PT"/>
        </w:rPr>
        <w:t xml:space="preserve"> polaca aumentou significativamente, de 41,3% em 2020, para 46,1% em 2021.</w:t>
      </w:r>
    </w:p>
    <w:p w14:paraId="401AB775" w14:textId="06216E9E" w:rsidR="001513C0" w:rsidRDefault="00B40179" w:rsidP="003A7215">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1513C0">
        <w:rPr>
          <w:rFonts w:ascii="Arial" w:hAnsi="Arial" w:cs="Arial"/>
          <w:color w:val="404040" w:themeColor="text1" w:themeTint="BF"/>
          <w:lang w:val="pt-PT"/>
        </w:rPr>
        <w:t xml:space="preserve">As 16.445 máquinas automáticas de encomendas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na Polónia têm, em média, mais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do que as APM da concorrência. Em 2021, o número global de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na Polónia aumentou de 1,48 milhões para 2,41 milhões. Este aumento representou 90% de todas as adições líquidas de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no mercado, deixando o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com 96% de todos os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existentes na Polónia no final de 2021. Por volume de encomendas, </w:t>
      </w:r>
      <w:r w:rsidR="001513C0" w:rsidRPr="001513C0">
        <w:rPr>
          <w:rFonts w:ascii="Arial" w:hAnsi="Arial" w:cs="Arial"/>
          <w:color w:val="404040" w:themeColor="text1" w:themeTint="BF"/>
          <w:lang w:val="pt-PT"/>
        </w:rPr>
        <w:t>a</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estima que a sua quota de mercado em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atingiu 98% em 2021.</w:t>
      </w:r>
    </w:p>
    <w:p w14:paraId="72F0BD12" w14:textId="6C65B4B4" w:rsidR="001513C0" w:rsidRDefault="001513C0" w:rsidP="003A7215">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A</w:t>
      </w:r>
      <w:r w:rsidRPr="001513C0">
        <w:rPr>
          <w:rFonts w:ascii="Arial" w:hAnsi="Arial" w:cs="Arial"/>
          <w:color w:val="404040" w:themeColor="text1" w:themeTint="BF"/>
          <w:lang w:val="pt-PT"/>
        </w:rPr>
        <w:t xml:space="preserve">s </w:t>
      </w:r>
      <w:proofErr w:type="spellStart"/>
      <w:r w:rsidRPr="001513C0">
        <w:rPr>
          <w:rFonts w:ascii="Arial" w:hAnsi="Arial" w:cs="Arial"/>
          <w:color w:val="404040" w:themeColor="text1" w:themeTint="BF"/>
          <w:lang w:val="pt-PT"/>
        </w:rPr>
        <w:t>APMs</w:t>
      </w:r>
      <w:proofErr w:type="spellEnd"/>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estão agora a 7 minutos a pé para 56% da população polaca, contra 50% em 2021. A análise da empresa demonstra uma clara tendência dos consumidores para aumentar a intensidade da utilização à medida que a sua proximidade com os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melhora. Isto alimenta uma adoção comercial mais ampla e gera uma maior eficiência. O reforço desta vantagem competitiva ajudou a aumentar a base comercial d</w:t>
      </w:r>
      <w:r>
        <w:rPr>
          <w:rFonts w:ascii="Arial" w:hAnsi="Arial" w:cs="Arial"/>
          <w:color w:val="404040" w:themeColor="text1" w:themeTint="BF"/>
          <w:lang w:val="pt-PT"/>
        </w:rPr>
        <w:t>a</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na Polónia em 27% em 2021. A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tem agora mais de 38</w:t>
      </w:r>
      <w:r>
        <w:rPr>
          <w:rFonts w:ascii="Arial" w:hAnsi="Arial" w:cs="Arial"/>
          <w:color w:val="404040" w:themeColor="text1" w:themeTint="BF"/>
          <w:lang w:val="pt-PT"/>
        </w:rPr>
        <w:t>.000</w:t>
      </w:r>
      <w:r w:rsidRPr="001513C0">
        <w:rPr>
          <w:rFonts w:ascii="Arial" w:hAnsi="Arial" w:cs="Arial"/>
          <w:color w:val="404040" w:themeColor="text1" w:themeTint="BF"/>
          <w:lang w:val="pt-PT"/>
        </w:rPr>
        <w:t xml:space="preserve"> parceiros comerciais a beneficiar da melhoria da eficiência e da elevada satisfação do cliente que a rede APM oferece</w:t>
      </w:r>
      <w:r>
        <w:rPr>
          <w:rFonts w:ascii="Arial" w:hAnsi="Arial" w:cs="Arial"/>
          <w:color w:val="404040" w:themeColor="text1" w:themeTint="BF"/>
          <w:lang w:val="pt-PT"/>
        </w:rPr>
        <w:t>.</w:t>
      </w:r>
    </w:p>
    <w:p w14:paraId="40272D2B" w14:textId="616F4F3A" w:rsidR="001513C0" w:rsidRDefault="001513C0"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w:t>
      </w:r>
      <w:r w:rsidRPr="001513C0">
        <w:rPr>
          <w:rFonts w:ascii="Arial" w:hAnsi="Arial" w:cs="Arial"/>
          <w:color w:val="404040" w:themeColor="text1" w:themeTint="BF"/>
          <w:lang w:val="pt-PT"/>
        </w:rPr>
        <w:t>NPS</w:t>
      </w:r>
      <w:r>
        <w:rPr>
          <w:rFonts w:ascii="Arial" w:hAnsi="Arial" w:cs="Arial"/>
          <w:color w:val="404040" w:themeColor="text1" w:themeTint="BF"/>
          <w:lang w:val="pt-PT"/>
        </w:rPr>
        <w:t>”,</w:t>
      </w:r>
      <w:r w:rsidRPr="001513C0">
        <w:rPr>
          <w:rFonts w:ascii="Arial" w:hAnsi="Arial" w:cs="Arial"/>
          <w:color w:val="404040" w:themeColor="text1" w:themeTint="BF"/>
          <w:lang w:val="pt-PT"/>
        </w:rPr>
        <w:t xml:space="preserve"> a medida de apreciação do cliente dos serviços de recolha </w:t>
      </w:r>
      <w:r>
        <w:rPr>
          <w:rFonts w:ascii="Arial" w:hAnsi="Arial" w:cs="Arial"/>
          <w:color w:val="404040" w:themeColor="text1" w:themeTint="BF"/>
          <w:lang w:val="pt-PT"/>
        </w:rPr>
        <w:t xml:space="preserve">em </w:t>
      </w:r>
      <w:r w:rsidRPr="001513C0">
        <w:rPr>
          <w:rFonts w:ascii="Arial" w:hAnsi="Arial" w:cs="Arial"/>
          <w:color w:val="404040" w:themeColor="text1" w:themeTint="BF"/>
          <w:lang w:val="pt-PT"/>
        </w:rPr>
        <w:t xml:space="preserve">APM, melhorou novamente, atingindo um novo nível recorde de 75 na Polónia. Além disso, um estudo recente destacou que </w:t>
      </w:r>
      <w:r>
        <w:rPr>
          <w:rFonts w:ascii="Arial" w:hAnsi="Arial" w:cs="Arial"/>
          <w:color w:val="404040" w:themeColor="text1" w:themeTint="BF"/>
          <w:lang w:val="pt-PT"/>
        </w:rPr>
        <w:t>a</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tem o serviço de entrega de </w:t>
      </w:r>
      <w:proofErr w:type="gramStart"/>
      <w:r w:rsidRPr="001513C0">
        <w:rPr>
          <w:rFonts w:ascii="Arial" w:hAnsi="Arial" w:cs="Arial"/>
          <w:color w:val="404040" w:themeColor="text1" w:themeTint="BF"/>
          <w:lang w:val="pt-PT"/>
        </w:rPr>
        <w:t>última milha mais preferido</w:t>
      </w:r>
      <w:proofErr w:type="gramEnd"/>
      <w:r w:rsidRPr="001513C0">
        <w:rPr>
          <w:rFonts w:ascii="Arial" w:hAnsi="Arial" w:cs="Arial"/>
          <w:color w:val="404040" w:themeColor="text1" w:themeTint="BF"/>
          <w:lang w:val="pt-PT"/>
        </w:rPr>
        <w:t xml:space="preserve"> pela grande maioria dos consumidores na Polónia. A nível internacional, os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513C0">
        <w:rPr>
          <w:rFonts w:ascii="Arial" w:hAnsi="Arial" w:cs="Arial"/>
          <w:color w:val="404040" w:themeColor="text1" w:themeTint="BF"/>
          <w:lang w:val="pt-PT"/>
        </w:rPr>
        <w:t xml:space="preserve"> </w:t>
      </w:r>
      <w:proofErr w:type="spellStart"/>
      <w:r w:rsidRPr="001513C0">
        <w:rPr>
          <w:rFonts w:ascii="Arial" w:hAnsi="Arial" w:cs="Arial"/>
          <w:color w:val="404040" w:themeColor="text1" w:themeTint="BF"/>
          <w:lang w:val="pt-PT"/>
        </w:rPr>
        <w:t>InPost</w:t>
      </w:r>
      <w:proofErr w:type="spellEnd"/>
      <w:r w:rsidRPr="001513C0">
        <w:rPr>
          <w:rFonts w:ascii="Arial" w:hAnsi="Arial" w:cs="Arial"/>
          <w:color w:val="404040" w:themeColor="text1" w:themeTint="BF"/>
          <w:lang w:val="pt-PT"/>
        </w:rPr>
        <w:t xml:space="preserve"> já estão a alcançar um NPS muito forte, tanto por parte dos comerciantes como dos consumidores.</w:t>
      </w:r>
    </w:p>
    <w:p w14:paraId="08C32C4F" w14:textId="2A97C8A5" w:rsidR="00880D43" w:rsidRPr="00781F53" w:rsidRDefault="001661B3"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 xml:space="preserve">A </w:t>
      </w:r>
      <w:proofErr w:type="spellStart"/>
      <w:r w:rsidRPr="001661B3">
        <w:rPr>
          <w:rFonts w:ascii="Arial" w:hAnsi="Arial" w:cs="Arial"/>
          <w:color w:val="404040" w:themeColor="text1" w:themeTint="BF"/>
          <w:lang w:val="pt-PT"/>
        </w:rPr>
        <w:t>InPost</w:t>
      </w:r>
      <w:proofErr w:type="spellEnd"/>
      <w:r w:rsidRPr="001661B3">
        <w:rPr>
          <w:rFonts w:ascii="Arial" w:hAnsi="Arial" w:cs="Arial"/>
          <w:color w:val="404040" w:themeColor="text1" w:themeTint="BF"/>
          <w:lang w:val="pt-PT"/>
        </w:rPr>
        <w:t xml:space="preserve"> tinha mais de 9,2 milhões de utilizadores ativos d</w:t>
      </w:r>
      <w:r>
        <w:rPr>
          <w:rFonts w:ascii="Arial" w:hAnsi="Arial" w:cs="Arial"/>
          <w:color w:val="404040" w:themeColor="text1" w:themeTint="BF"/>
          <w:lang w:val="pt-PT"/>
        </w:rPr>
        <w:t>a sua app</w:t>
      </w:r>
      <w:r w:rsidRPr="001661B3">
        <w:rPr>
          <w:rFonts w:ascii="Arial" w:hAnsi="Arial" w:cs="Arial"/>
          <w:color w:val="404040" w:themeColor="text1" w:themeTint="BF"/>
          <w:lang w:val="pt-PT"/>
        </w:rPr>
        <w:t xml:space="preserve"> no final de 2021</w:t>
      </w:r>
      <w:r w:rsidR="00C06422" w:rsidRPr="00781F53">
        <w:rPr>
          <w:rFonts w:ascii="Arial" w:hAnsi="Arial" w:cs="Arial"/>
          <w:color w:val="404040" w:themeColor="text1" w:themeTint="BF"/>
          <w:vertAlign w:val="superscript"/>
          <w:lang w:val="pt-PT"/>
        </w:rPr>
        <w:footnoteReference w:id="3"/>
      </w:r>
      <w:r w:rsidRPr="001661B3">
        <w:rPr>
          <w:rFonts w:ascii="Arial" w:hAnsi="Arial" w:cs="Arial"/>
          <w:color w:val="404040" w:themeColor="text1" w:themeTint="BF"/>
          <w:lang w:val="pt-PT"/>
        </w:rPr>
        <w:t xml:space="preserve">, o que representa um aumento de 41% no ano. A aplicação móvel </w:t>
      </w:r>
      <w:proofErr w:type="spellStart"/>
      <w:r w:rsidRPr="001661B3">
        <w:rPr>
          <w:rFonts w:ascii="Arial" w:hAnsi="Arial" w:cs="Arial"/>
          <w:color w:val="404040" w:themeColor="text1" w:themeTint="BF"/>
          <w:lang w:val="pt-PT"/>
        </w:rPr>
        <w:t>InPost</w:t>
      </w:r>
      <w:proofErr w:type="spellEnd"/>
      <w:r w:rsidRPr="001661B3">
        <w:rPr>
          <w:rFonts w:ascii="Arial" w:hAnsi="Arial" w:cs="Arial"/>
          <w:color w:val="404040" w:themeColor="text1" w:themeTint="BF"/>
          <w:lang w:val="pt-PT"/>
        </w:rPr>
        <w:t xml:space="preserve"> tornou-se a segunda aplicação comercial mais descarregada na Polónia. Isto está a impulsionar o envolvimento dos utilizadores e a fidelidade à marca. A penetração da aplicação permite </w:t>
      </w:r>
      <w:r w:rsidR="00C06422">
        <w:rPr>
          <w:rFonts w:ascii="Arial" w:hAnsi="Arial" w:cs="Arial"/>
          <w:color w:val="404040" w:themeColor="text1" w:themeTint="BF"/>
          <w:lang w:val="pt-PT"/>
        </w:rPr>
        <w:t>à</w:t>
      </w:r>
      <w:r w:rsidRPr="001661B3">
        <w:rPr>
          <w:rFonts w:ascii="Arial" w:hAnsi="Arial" w:cs="Arial"/>
          <w:color w:val="404040" w:themeColor="text1" w:themeTint="BF"/>
          <w:lang w:val="pt-PT"/>
        </w:rPr>
        <w:t xml:space="preserve"> </w:t>
      </w:r>
      <w:proofErr w:type="spellStart"/>
      <w:r w:rsidRPr="001661B3">
        <w:rPr>
          <w:rFonts w:ascii="Arial" w:hAnsi="Arial" w:cs="Arial"/>
          <w:color w:val="404040" w:themeColor="text1" w:themeTint="BF"/>
          <w:lang w:val="pt-PT"/>
        </w:rPr>
        <w:t>InPost</w:t>
      </w:r>
      <w:proofErr w:type="spellEnd"/>
      <w:r w:rsidRPr="001661B3">
        <w:rPr>
          <w:rFonts w:ascii="Arial" w:hAnsi="Arial" w:cs="Arial"/>
          <w:color w:val="404040" w:themeColor="text1" w:themeTint="BF"/>
          <w:lang w:val="pt-PT"/>
        </w:rPr>
        <w:t xml:space="preserve"> impulsionar inovações no serviço, incluindo a abertura remota de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1661B3">
        <w:rPr>
          <w:rFonts w:ascii="Arial" w:hAnsi="Arial" w:cs="Arial"/>
          <w:color w:val="404040" w:themeColor="text1" w:themeTint="BF"/>
          <w:lang w:val="pt-PT"/>
        </w:rPr>
        <w:t>, o redirecionamento de um</w:t>
      </w:r>
      <w:r w:rsidR="00C06422">
        <w:rPr>
          <w:rFonts w:ascii="Arial" w:hAnsi="Arial" w:cs="Arial"/>
          <w:color w:val="404040" w:themeColor="text1" w:themeTint="BF"/>
          <w:lang w:val="pt-PT"/>
        </w:rPr>
        <w:t xml:space="preserve">a encomenda </w:t>
      </w:r>
      <w:r w:rsidRPr="001661B3">
        <w:rPr>
          <w:rFonts w:ascii="Arial" w:hAnsi="Arial" w:cs="Arial"/>
          <w:color w:val="404040" w:themeColor="text1" w:themeTint="BF"/>
          <w:lang w:val="pt-PT"/>
        </w:rPr>
        <w:t xml:space="preserve">para um cacifo, o envio sem etiquetas e o seu novo serviço de mercearia, </w:t>
      </w:r>
      <w:proofErr w:type="spellStart"/>
      <w:r w:rsidRPr="001661B3">
        <w:rPr>
          <w:rFonts w:ascii="Arial" w:hAnsi="Arial" w:cs="Arial"/>
          <w:color w:val="404040" w:themeColor="text1" w:themeTint="BF"/>
          <w:lang w:val="pt-PT"/>
        </w:rPr>
        <w:t>InPost</w:t>
      </w:r>
      <w:proofErr w:type="spellEnd"/>
      <w:r w:rsidRPr="001661B3">
        <w:rPr>
          <w:rFonts w:ascii="Arial" w:hAnsi="Arial" w:cs="Arial"/>
          <w:color w:val="404040" w:themeColor="text1" w:themeTint="BF"/>
          <w:lang w:val="pt-PT"/>
        </w:rPr>
        <w:t xml:space="preserve"> </w:t>
      </w:r>
      <w:proofErr w:type="spellStart"/>
      <w:r w:rsidRPr="001661B3">
        <w:rPr>
          <w:rFonts w:ascii="Arial" w:hAnsi="Arial" w:cs="Arial"/>
          <w:color w:val="404040" w:themeColor="text1" w:themeTint="BF"/>
          <w:lang w:val="pt-PT"/>
        </w:rPr>
        <w:t>Fresh</w:t>
      </w:r>
      <w:proofErr w:type="spellEnd"/>
      <w:r w:rsidRPr="001661B3">
        <w:rPr>
          <w:rFonts w:ascii="Arial" w:hAnsi="Arial" w:cs="Arial"/>
          <w:color w:val="404040" w:themeColor="text1" w:themeTint="BF"/>
          <w:lang w:val="pt-PT"/>
        </w:rPr>
        <w:t>.</w:t>
      </w:r>
    </w:p>
    <w:p w14:paraId="1CBDC179" w14:textId="77777777" w:rsidR="00900CBA" w:rsidRPr="00781F53" w:rsidRDefault="00900CBA" w:rsidP="00781F53">
      <w:pPr>
        <w:spacing w:before="120" w:after="120" w:line="276" w:lineRule="auto"/>
        <w:ind w:right="-425"/>
        <w:jc w:val="both"/>
        <w:rPr>
          <w:rFonts w:ascii="Arial" w:hAnsi="Arial" w:cs="Arial"/>
          <w:b/>
          <w:bCs/>
          <w:color w:val="404040"/>
          <w:lang w:val="pt-PT"/>
        </w:rPr>
      </w:pPr>
    </w:p>
    <w:p w14:paraId="428789B2" w14:textId="29655EB0" w:rsidR="00880D43" w:rsidRPr="00781F53" w:rsidRDefault="00880D43" w:rsidP="00781F53">
      <w:pPr>
        <w:spacing w:before="120" w:after="120" w:line="276" w:lineRule="auto"/>
        <w:ind w:right="-425"/>
        <w:jc w:val="both"/>
        <w:rPr>
          <w:rFonts w:ascii="Arial" w:hAnsi="Arial" w:cs="Arial"/>
          <w:b/>
          <w:bCs/>
          <w:color w:val="404040"/>
          <w:lang w:val="pt-PT"/>
        </w:rPr>
      </w:pPr>
      <w:r w:rsidRPr="00781F53">
        <w:rPr>
          <w:rFonts w:ascii="Arial" w:hAnsi="Arial" w:cs="Arial"/>
          <w:b/>
          <w:bCs/>
          <w:noProof/>
          <w:color w:val="404040"/>
          <w:lang w:val="pt-PT"/>
        </w:rPr>
        <w:drawing>
          <wp:anchor distT="0" distB="0" distL="114300" distR="114300" simplePos="0" relativeHeight="251658240" behindDoc="0" locked="0" layoutInCell="1" allowOverlap="1" wp14:anchorId="1EA8877A" wp14:editId="426221D8">
            <wp:simplePos x="0" y="0"/>
            <wp:positionH relativeFrom="column">
              <wp:posOffset>-353695</wp:posOffset>
            </wp:positionH>
            <wp:positionV relativeFrom="paragraph">
              <wp:posOffset>301700</wp:posOffset>
            </wp:positionV>
            <wp:extent cx="304800" cy="250115"/>
            <wp:effectExtent l="0" t="0" r="0" b="4445"/>
            <wp:wrapNone/>
            <wp:docPr id="9"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5915" cy="2510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81F53">
        <w:rPr>
          <w:rFonts w:ascii="Arial" w:hAnsi="Arial" w:cs="Arial"/>
          <w:b/>
          <w:bCs/>
          <w:color w:val="404040"/>
          <w:lang w:val="pt-PT"/>
        </w:rPr>
        <w:t>Rafal</w:t>
      </w:r>
      <w:proofErr w:type="spellEnd"/>
      <w:r w:rsidRPr="00781F53">
        <w:rPr>
          <w:rFonts w:ascii="Arial" w:hAnsi="Arial" w:cs="Arial"/>
          <w:b/>
          <w:bCs/>
          <w:color w:val="404040"/>
          <w:lang w:val="pt-PT"/>
        </w:rPr>
        <w:t xml:space="preserve"> </w:t>
      </w:r>
      <w:proofErr w:type="spellStart"/>
      <w:r w:rsidRPr="00781F53">
        <w:rPr>
          <w:rFonts w:ascii="Arial" w:hAnsi="Arial" w:cs="Arial"/>
          <w:b/>
          <w:bCs/>
          <w:color w:val="404040"/>
          <w:lang w:val="pt-PT"/>
        </w:rPr>
        <w:t>Brzoska</w:t>
      </w:r>
      <w:proofErr w:type="spellEnd"/>
      <w:r w:rsidRPr="00781F53">
        <w:rPr>
          <w:rFonts w:ascii="Arial" w:hAnsi="Arial" w:cs="Arial"/>
          <w:b/>
          <w:bCs/>
          <w:color w:val="404040"/>
          <w:lang w:val="pt-PT"/>
        </w:rPr>
        <w:t>, Fund</w:t>
      </w:r>
      <w:r w:rsidR="00C06422">
        <w:rPr>
          <w:rFonts w:ascii="Arial" w:hAnsi="Arial" w:cs="Arial"/>
          <w:b/>
          <w:bCs/>
          <w:color w:val="404040"/>
          <w:lang w:val="pt-PT"/>
        </w:rPr>
        <w:t>ador</w:t>
      </w:r>
      <w:r w:rsidRPr="00781F53">
        <w:rPr>
          <w:rFonts w:ascii="Arial" w:hAnsi="Arial" w:cs="Arial"/>
          <w:b/>
          <w:bCs/>
          <w:color w:val="404040"/>
          <w:lang w:val="pt-PT"/>
        </w:rPr>
        <w:t xml:space="preserve"> </w:t>
      </w:r>
      <w:r w:rsidR="00C06422">
        <w:rPr>
          <w:rFonts w:ascii="Arial" w:hAnsi="Arial" w:cs="Arial"/>
          <w:b/>
          <w:bCs/>
          <w:color w:val="404040"/>
          <w:lang w:val="pt-PT"/>
        </w:rPr>
        <w:t xml:space="preserve">e </w:t>
      </w:r>
      <w:r w:rsidRPr="00781F53">
        <w:rPr>
          <w:rFonts w:ascii="Arial" w:hAnsi="Arial" w:cs="Arial"/>
          <w:b/>
          <w:bCs/>
          <w:color w:val="404040"/>
          <w:lang w:val="pt-PT"/>
        </w:rPr>
        <w:t xml:space="preserve">CEO </w:t>
      </w:r>
      <w:r w:rsidR="00C06422">
        <w:rPr>
          <w:rFonts w:ascii="Arial" w:hAnsi="Arial" w:cs="Arial"/>
          <w:b/>
          <w:bCs/>
          <w:color w:val="404040"/>
          <w:lang w:val="pt-PT"/>
        </w:rPr>
        <w:t>da</w:t>
      </w:r>
      <w:r w:rsidRPr="00781F53">
        <w:rPr>
          <w:rFonts w:ascii="Arial" w:hAnsi="Arial" w:cs="Arial"/>
          <w:b/>
          <w:bCs/>
          <w:color w:val="404040"/>
          <w:lang w:val="pt-PT"/>
        </w:rPr>
        <w:t xml:space="preserve"> </w:t>
      </w:r>
      <w:proofErr w:type="spellStart"/>
      <w:r w:rsidRPr="00781F53">
        <w:rPr>
          <w:rFonts w:ascii="Arial" w:hAnsi="Arial" w:cs="Arial"/>
          <w:b/>
          <w:bCs/>
          <w:color w:val="404040"/>
          <w:lang w:val="pt-PT"/>
        </w:rPr>
        <w:t>InPost</w:t>
      </w:r>
      <w:proofErr w:type="spellEnd"/>
      <w:r w:rsidRPr="00781F53">
        <w:rPr>
          <w:rFonts w:ascii="Arial" w:hAnsi="Arial" w:cs="Arial"/>
          <w:b/>
          <w:bCs/>
          <w:color w:val="404040"/>
          <w:lang w:val="pt-PT"/>
        </w:rPr>
        <w:t xml:space="preserve"> </w:t>
      </w:r>
    </w:p>
    <w:p w14:paraId="45992376" w14:textId="1DEC3ACB" w:rsidR="00C06422" w:rsidRDefault="00C06422" w:rsidP="00C06422">
      <w:pPr>
        <w:spacing w:before="120" w:after="120" w:line="276" w:lineRule="auto"/>
        <w:ind w:right="-425"/>
        <w:rPr>
          <w:rFonts w:ascii="Arial" w:hAnsi="Arial" w:cs="Arial"/>
          <w:color w:val="404040"/>
          <w:sz w:val="20"/>
          <w:szCs w:val="20"/>
          <w:lang w:val="pt-PT"/>
        </w:rPr>
      </w:pPr>
      <w:r w:rsidRPr="00C06422">
        <w:rPr>
          <w:rFonts w:ascii="Arial" w:hAnsi="Arial" w:cs="Arial"/>
          <w:color w:val="404040"/>
          <w:sz w:val="20"/>
          <w:szCs w:val="20"/>
          <w:lang w:val="pt-PT"/>
        </w:rPr>
        <w:t xml:space="preserve">Em 2021, proporcionámos mais um forte ano de crescimento e expansão das margens na Polónia, graças à melhoria da utilização pelos consumidores à medida que a proximidade dos nossos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C06422">
        <w:rPr>
          <w:rFonts w:ascii="Arial" w:hAnsi="Arial" w:cs="Arial"/>
          <w:color w:val="404040"/>
          <w:sz w:val="20"/>
          <w:szCs w:val="20"/>
          <w:lang w:val="pt-PT"/>
        </w:rPr>
        <w:t xml:space="preserve"> aumentava. Continuamos a investir na melhoria da nossa melhor experiência de consumo para ajudar os nossos comerciantes a maximizar as suas vendas e a satisfação do cliente. Não é sem significado que hoje 56% da população da Polónia tem os nossos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C06422">
        <w:rPr>
          <w:rFonts w:ascii="Arial" w:hAnsi="Arial" w:cs="Arial"/>
          <w:color w:val="404040"/>
          <w:sz w:val="20"/>
          <w:szCs w:val="20"/>
          <w:lang w:val="pt-PT"/>
        </w:rPr>
        <w:t xml:space="preserve"> a uma distância de 7 </w:t>
      </w:r>
      <w:proofErr w:type="spellStart"/>
      <w:r w:rsidRPr="00C06422">
        <w:rPr>
          <w:rFonts w:ascii="Arial" w:hAnsi="Arial" w:cs="Arial"/>
          <w:color w:val="404040"/>
          <w:sz w:val="20"/>
          <w:szCs w:val="20"/>
          <w:lang w:val="pt-PT"/>
        </w:rPr>
        <w:t>min</w:t>
      </w:r>
      <w:proofErr w:type="spellEnd"/>
      <w:r w:rsidRPr="00C06422">
        <w:rPr>
          <w:rFonts w:ascii="Arial" w:hAnsi="Arial" w:cs="Arial"/>
          <w:color w:val="404040"/>
          <w:sz w:val="20"/>
          <w:szCs w:val="20"/>
          <w:lang w:val="pt-PT"/>
        </w:rPr>
        <w:t xml:space="preserve"> a pé da sua casa. Conseguimos mais ganhos de quota de mercado não só colocando 9x mais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C06422">
        <w:rPr>
          <w:rFonts w:ascii="Arial" w:hAnsi="Arial" w:cs="Arial"/>
          <w:color w:val="404040"/>
          <w:sz w:val="20"/>
          <w:szCs w:val="20"/>
          <w:lang w:val="pt-PT"/>
        </w:rPr>
        <w:t xml:space="preserve"> do que toda a nossa concorrência combinada em 2021, mas também através do nosso foco operacional e perícia como líder mundial em máquinas automatizadas de encomendas. Tenho o prazer de informar que a acumulação de utilização e as tendências de retorno das novas máquinas são mais fortes do que todos os coortes do ano anterior, com exceção do </w:t>
      </w:r>
      <w:r>
        <w:rPr>
          <w:rFonts w:ascii="Arial" w:hAnsi="Arial" w:cs="Arial"/>
          <w:color w:val="404040"/>
          <w:sz w:val="20"/>
          <w:szCs w:val="20"/>
          <w:lang w:val="pt-PT"/>
        </w:rPr>
        <w:t xml:space="preserve">ano de 2020, afetado pelo </w:t>
      </w:r>
      <w:proofErr w:type="spellStart"/>
      <w:r>
        <w:rPr>
          <w:rFonts w:ascii="Arial" w:hAnsi="Arial" w:cs="Arial"/>
          <w:color w:val="404040"/>
          <w:sz w:val="20"/>
          <w:szCs w:val="20"/>
          <w:lang w:val="pt-PT"/>
        </w:rPr>
        <w:t>C</w:t>
      </w:r>
      <w:r w:rsidRPr="00C06422">
        <w:rPr>
          <w:rFonts w:ascii="Arial" w:hAnsi="Arial" w:cs="Arial"/>
          <w:color w:val="404040"/>
          <w:sz w:val="20"/>
          <w:szCs w:val="20"/>
          <w:lang w:val="pt-PT"/>
        </w:rPr>
        <w:t>ovid</w:t>
      </w:r>
      <w:proofErr w:type="spellEnd"/>
      <w:r w:rsidRPr="00C06422">
        <w:rPr>
          <w:rFonts w:ascii="Arial" w:hAnsi="Arial" w:cs="Arial"/>
          <w:color w:val="404040"/>
          <w:sz w:val="20"/>
          <w:szCs w:val="20"/>
          <w:lang w:val="pt-PT"/>
        </w:rPr>
        <w:t>. Na Polónia</w:t>
      </w:r>
      <w:r>
        <w:rPr>
          <w:rFonts w:ascii="Arial" w:hAnsi="Arial" w:cs="Arial"/>
          <w:color w:val="404040"/>
          <w:sz w:val="20"/>
          <w:szCs w:val="20"/>
          <w:lang w:val="pt-PT"/>
        </w:rPr>
        <w:t>,</w:t>
      </w:r>
      <w:r w:rsidRPr="00C06422">
        <w:rPr>
          <w:rFonts w:ascii="Arial" w:hAnsi="Arial" w:cs="Arial"/>
          <w:color w:val="404040"/>
          <w:sz w:val="20"/>
          <w:szCs w:val="20"/>
          <w:lang w:val="pt-PT"/>
        </w:rPr>
        <w:t xml:space="preserve"> temos agora um total de 2,4 milhões de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C06422">
        <w:rPr>
          <w:rFonts w:ascii="Arial" w:hAnsi="Arial" w:cs="Arial"/>
          <w:color w:val="404040"/>
          <w:sz w:val="20"/>
          <w:szCs w:val="20"/>
          <w:lang w:val="pt-PT"/>
        </w:rPr>
        <w:t xml:space="preserve">, o que representa 96% de todos os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C06422">
        <w:rPr>
          <w:rFonts w:ascii="Arial" w:hAnsi="Arial" w:cs="Arial"/>
          <w:color w:val="404040"/>
          <w:sz w:val="20"/>
          <w:szCs w:val="20"/>
          <w:lang w:val="pt-PT"/>
        </w:rPr>
        <w:t xml:space="preserve"> de encomendas em todo o mercado. </w:t>
      </w:r>
      <w:r>
        <w:rPr>
          <w:rFonts w:ascii="Arial" w:hAnsi="Arial" w:cs="Arial"/>
          <w:color w:val="404040"/>
          <w:sz w:val="20"/>
          <w:szCs w:val="20"/>
          <w:lang w:val="pt-PT"/>
        </w:rPr>
        <w:t>O “</w:t>
      </w:r>
      <w:r w:rsidRPr="00781F53">
        <w:rPr>
          <w:rFonts w:ascii="Arial" w:hAnsi="Arial" w:cs="Arial"/>
          <w:color w:val="404040"/>
          <w:sz w:val="20"/>
          <w:szCs w:val="20"/>
          <w:lang w:val="pt-PT"/>
        </w:rPr>
        <w:t xml:space="preserve">net </w:t>
      </w:r>
      <w:proofErr w:type="spellStart"/>
      <w:r w:rsidRPr="00781F53">
        <w:rPr>
          <w:rFonts w:ascii="Arial" w:hAnsi="Arial" w:cs="Arial"/>
          <w:color w:val="404040"/>
          <w:sz w:val="20"/>
          <w:szCs w:val="20"/>
          <w:lang w:val="pt-PT"/>
        </w:rPr>
        <w:t>promoter</w:t>
      </w:r>
      <w:proofErr w:type="spellEnd"/>
      <w:r w:rsidRPr="00C06422">
        <w:rPr>
          <w:rFonts w:ascii="Arial" w:hAnsi="Arial" w:cs="Arial"/>
          <w:color w:val="404040"/>
          <w:sz w:val="20"/>
          <w:szCs w:val="20"/>
          <w:lang w:val="pt-PT"/>
        </w:rPr>
        <w:t xml:space="preserve"> </w:t>
      </w:r>
      <w:proofErr w:type="spellStart"/>
      <w:r>
        <w:rPr>
          <w:rFonts w:ascii="Arial" w:hAnsi="Arial" w:cs="Arial"/>
          <w:color w:val="404040"/>
          <w:sz w:val="20"/>
          <w:szCs w:val="20"/>
          <w:lang w:val="pt-PT"/>
        </w:rPr>
        <w:t>score</w:t>
      </w:r>
      <w:proofErr w:type="spellEnd"/>
      <w:r>
        <w:rPr>
          <w:rFonts w:ascii="Arial" w:hAnsi="Arial" w:cs="Arial"/>
          <w:color w:val="404040"/>
          <w:sz w:val="20"/>
          <w:szCs w:val="20"/>
          <w:lang w:val="pt-PT"/>
        </w:rPr>
        <w:t xml:space="preserve">” (NPS) do nosso </w:t>
      </w:r>
      <w:r w:rsidRPr="00C06422">
        <w:rPr>
          <w:rFonts w:ascii="Arial" w:hAnsi="Arial" w:cs="Arial"/>
          <w:color w:val="404040"/>
          <w:sz w:val="20"/>
          <w:szCs w:val="20"/>
          <w:lang w:val="pt-PT"/>
        </w:rPr>
        <w:t xml:space="preserve">serviço APM melhorou novamente, atingindo um novo nível recorde de 75. Um estudo recente destacou que temos o serviço de entrega de </w:t>
      </w:r>
      <w:proofErr w:type="gramStart"/>
      <w:r w:rsidRPr="00C06422">
        <w:rPr>
          <w:rFonts w:ascii="Arial" w:hAnsi="Arial" w:cs="Arial"/>
          <w:color w:val="404040"/>
          <w:sz w:val="20"/>
          <w:szCs w:val="20"/>
          <w:lang w:val="pt-PT"/>
        </w:rPr>
        <w:t>última milha mais preferido</w:t>
      </w:r>
      <w:proofErr w:type="gramEnd"/>
      <w:r w:rsidRPr="00C06422">
        <w:rPr>
          <w:rFonts w:ascii="Arial" w:hAnsi="Arial" w:cs="Arial"/>
          <w:color w:val="404040"/>
          <w:sz w:val="20"/>
          <w:szCs w:val="20"/>
          <w:lang w:val="pt-PT"/>
        </w:rPr>
        <w:t xml:space="preserve"> pelos consumidores na Polónia. O nosso objetivo é transferir essa elevada experiência do cliente para o nível pan-europeu, acelerada pela nossa aquisição da Mondial Relay.</w:t>
      </w:r>
      <w:r>
        <w:rPr>
          <w:rFonts w:ascii="Arial" w:hAnsi="Arial" w:cs="Arial"/>
          <w:color w:val="404040"/>
          <w:sz w:val="20"/>
          <w:szCs w:val="20"/>
          <w:lang w:val="pt-PT"/>
        </w:rPr>
        <w:br/>
      </w:r>
    </w:p>
    <w:p w14:paraId="51BFBC02" w14:textId="0E52092B" w:rsidR="00880D43" w:rsidRPr="00781F53" w:rsidRDefault="00900CBA" w:rsidP="00C06422">
      <w:pPr>
        <w:spacing w:before="120" w:after="120" w:line="276" w:lineRule="auto"/>
        <w:ind w:right="-425"/>
        <w:rPr>
          <w:rFonts w:ascii="Arial" w:hAnsi="Arial" w:cs="Arial"/>
          <w:b/>
          <w:color w:val="404040" w:themeColor="text1" w:themeTint="BF"/>
          <w:lang w:val="pt-PT"/>
        </w:rPr>
      </w:pPr>
      <w:r w:rsidRPr="00781F53">
        <w:rPr>
          <w:rFonts w:ascii="Arial" w:hAnsi="Arial" w:cs="Arial"/>
          <w:b/>
          <w:bCs/>
          <w:color w:val="404040" w:themeColor="text1" w:themeTint="BF"/>
          <w:lang w:val="pt-PT"/>
        </w:rPr>
        <w:t>MONDIAL RELAY</w:t>
      </w:r>
      <w:r w:rsidR="00880D43" w:rsidRPr="00781F53">
        <w:rPr>
          <w:rFonts w:ascii="Arial" w:hAnsi="Arial" w:cs="Arial"/>
          <w:b/>
          <w:bCs/>
          <w:color w:val="404040" w:themeColor="text1" w:themeTint="BF"/>
          <w:lang w:val="pt-PT"/>
        </w:rPr>
        <w:t xml:space="preserve">: </w:t>
      </w:r>
      <w:r w:rsidR="00C06422">
        <w:rPr>
          <w:rFonts w:ascii="Arial" w:hAnsi="Arial" w:cs="Arial"/>
          <w:b/>
          <w:bCs/>
          <w:color w:val="404040" w:themeColor="text1" w:themeTint="BF"/>
          <w:lang w:val="pt-PT"/>
        </w:rPr>
        <w:t>TRANSFORMANDO A ‘</w:t>
      </w:r>
      <w:r w:rsidR="009E5593">
        <w:rPr>
          <w:rFonts w:ascii="Arial" w:hAnsi="Arial" w:cs="Arial"/>
          <w:b/>
          <w:bCs/>
          <w:color w:val="404040" w:themeColor="text1" w:themeTint="BF"/>
          <w:lang w:val="pt-PT"/>
        </w:rPr>
        <w:t>ÚLTIMA</w:t>
      </w:r>
      <w:r w:rsidR="00C06422">
        <w:rPr>
          <w:rFonts w:ascii="Arial" w:hAnsi="Arial" w:cs="Arial"/>
          <w:b/>
          <w:bCs/>
          <w:color w:val="404040" w:themeColor="text1" w:themeTint="BF"/>
          <w:lang w:val="pt-PT"/>
        </w:rPr>
        <w:t xml:space="preserve"> MILHA’ DA EUROPA</w:t>
      </w:r>
    </w:p>
    <w:p w14:paraId="439C7EC7" w14:textId="11A799C7" w:rsidR="00880D43" w:rsidRPr="00781F53" w:rsidRDefault="0086091B" w:rsidP="0086091B">
      <w:pPr>
        <w:spacing w:after="120" w:line="276" w:lineRule="auto"/>
        <w:ind w:right="-425"/>
        <w:rPr>
          <w:rFonts w:ascii="Arial" w:hAnsi="Arial" w:cs="Arial"/>
          <w:color w:val="404040"/>
          <w:lang w:val="pt-PT"/>
        </w:rPr>
      </w:pPr>
      <w:r w:rsidRPr="0086091B">
        <w:rPr>
          <w:rFonts w:ascii="Arial" w:hAnsi="Arial" w:cs="Arial"/>
          <w:color w:val="404040" w:themeColor="text1" w:themeTint="BF"/>
          <w:lang w:val="pt-PT"/>
        </w:rPr>
        <w:t xml:space="preserve">A aquisição de 513 milhões de euros da Mondial Relay, a principal empresa francesa </w:t>
      </w:r>
      <w:r>
        <w:rPr>
          <w:rFonts w:ascii="Arial" w:hAnsi="Arial" w:cs="Arial"/>
          <w:color w:val="404040" w:themeColor="text1" w:themeTint="BF"/>
          <w:lang w:val="pt-PT"/>
        </w:rPr>
        <w:t xml:space="preserve">de entrega de encomendas </w:t>
      </w:r>
      <w:r w:rsidRPr="0086091B">
        <w:rPr>
          <w:rFonts w:ascii="Arial" w:hAnsi="Arial" w:cs="Arial"/>
          <w:color w:val="404040" w:themeColor="text1" w:themeTint="BF"/>
          <w:lang w:val="pt-PT"/>
        </w:rPr>
        <w:t>fora de casa</w:t>
      </w:r>
      <w:r>
        <w:rPr>
          <w:rFonts w:ascii="Arial" w:hAnsi="Arial" w:cs="Arial"/>
          <w:color w:val="404040" w:themeColor="text1" w:themeTint="BF"/>
          <w:lang w:val="pt-PT"/>
        </w:rPr>
        <w:t xml:space="preserve"> para o </w:t>
      </w:r>
      <w:r w:rsidRPr="0086091B">
        <w:rPr>
          <w:rFonts w:ascii="Arial" w:hAnsi="Arial" w:cs="Arial"/>
          <w:color w:val="404040" w:themeColor="text1" w:themeTint="BF"/>
          <w:lang w:val="pt-PT"/>
        </w:rPr>
        <w:t>comércio eletrónico (PUDO), foi anunciad</w:t>
      </w:r>
      <w:r>
        <w:rPr>
          <w:rFonts w:ascii="Arial" w:hAnsi="Arial" w:cs="Arial"/>
          <w:color w:val="404040" w:themeColor="text1" w:themeTint="BF"/>
          <w:lang w:val="pt-PT"/>
        </w:rPr>
        <w:t>a</w:t>
      </w:r>
      <w:r w:rsidRPr="0086091B">
        <w:rPr>
          <w:rFonts w:ascii="Arial" w:hAnsi="Arial" w:cs="Arial"/>
          <w:color w:val="404040" w:themeColor="text1" w:themeTint="BF"/>
          <w:lang w:val="pt-PT"/>
        </w:rPr>
        <w:t xml:space="preserve"> em </w:t>
      </w:r>
      <w:proofErr w:type="gramStart"/>
      <w:r w:rsidRPr="0086091B">
        <w:rPr>
          <w:rFonts w:ascii="Arial" w:hAnsi="Arial" w:cs="Arial"/>
          <w:color w:val="404040" w:themeColor="text1" w:themeTint="BF"/>
          <w:lang w:val="pt-PT"/>
        </w:rPr>
        <w:t>Março</w:t>
      </w:r>
      <w:proofErr w:type="gramEnd"/>
      <w:r w:rsidRPr="0086091B">
        <w:rPr>
          <w:rFonts w:ascii="Arial" w:hAnsi="Arial" w:cs="Arial"/>
          <w:color w:val="404040" w:themeColor="text1" w:themeTint="BF"/>
          <w:lang w:val="pt-PT"/>
        </w:rPr>
        <w:t xml:space="preserve"> de 2021. Desde </w:t>
      </w:r>
      <w:r>
        <w:rPr>
          <w:rFonts w:ascii="Arial" w:hAnsi="Arial" w:cs="Arial"/>
          <w:color w:val="404040" w:themeColor="text1" w:themeTint="BF"/>
          <w:lang w:val="pt-PT"/>
        </w:rPr>
        <w:t xml:space="preserve">a conclusão </w:t>
      </w:r>
      <w:r w:rsidRPr="0086091B">
        <w:rPr>
          <w:rFonts w:ascii="Arial" w:hAnsi="Arial" w:cs="Arial"/>
          <w:color w:val="404040" w:themeColor="text1" w:themeTint="BF"/>
          <w:lang w:val="pt-PT"/>
        </w:rPr>
        <w:t xml:space="preserve">em </w:t>
      </w:r>
      <w:proofErr w:type="gramStart"/>
      <w:r w:rsidRPr="0086091B">
        <w:rPr>
          <w:rFonts w:ascii="Arial" w:hAnsi="Arial" w:cs="Arial"/>
          <w:color w:val="404040" w:themeColor="text1" w:themeTint="BF"/>
          <w:lang w:val="pt-PT"/>
        </w:rPr>
        <w:t>Julho</w:t>
      </w:r>
      <w:proofErr w:type="gramEnd"/>
      <w:r w:rsidRPr="0086091B">
        <w:rPr>
          <w:rFonts w:ascii="Arial" w:hAnsi="Arial" w:cs="Arial"/>
          <w:color w:val="404040" w:themeColor="text1" w:themeTint="BF"/>
          <w:lang w:val="pt-PT"/>
        </w:rPr>
        <w:t xml:space="preserve">, </w:t>
      </w:r>
      <w:r>
        <w:rPr>
          <w:rFonts w:ascii="Arial" w:hAnsi="Arial" w:cs="Arial"/>
          <w:color w:val="404040" w:themeColor="text1" w:themeTint="BF"/>
          <w:lang w:val="pt-PT"/>
        </w:rPr>
        <w:t>a</w:t>
      </w:r>
      <w:r w:rsidRPr="0086091B">
        <w:rPr>
          <w:rFonts w:ascii="Arial" w:hAnsi="Arial" w:cs="Arial"/>
          <w:color w:val="404040" w:themeColor="text1" w:themeTint="BF"/>
          <w:lang w:val="pt-PT"/>
        </w:rPr>
        <w:t xml:space="preserve"> </w:t>
      </w:r>
      <w:proofErr w:type="spellStart"/>
      <w:r w:rsidRPr="0086091B">
        <w:rPr>
          <w:rFonts w:ascii="Arial" w:hAnsi="Arial" w:cs="Arial"/>
          <w:color w:val="404040" w:themeColor="text1" w:themeTint="BF"/>
          <w:lang w:val="pt-PT"/>
        </w:rPr>
        <w:t>InPost</w:t>
      </w:r>
      <w:proofErr w:type="spellEnd"/>
      <w:r w:rsidRPr="0086091B">
        <w:rPr>
          <w:rFonts w:ascii="Arial" w:hAnsi="Arial" w:cs="Arial"/>
          <w:color w:val="404040" w:themeColor="text1" w:themeTint="BF"/>
          <w:lang w:val="pt-PT"/>
        </w:rPr>
        <w:t xml:space="preserve"> avançou significativamente na gestão e integração operacional, em linha com os planos iniciais. A empresa está agora concentrada em elevar substancialmente a experiência do consumidor do Mondial Relay, tanto através da rede existente de PUDO como através da automatização</w:t>
      </w:r>
      <w:r>
        <w:rPr>
          <w:rFonts w:ascii="Arial" w:hAnsi="Arial" w:cs="Arial"/>
          <w:color w:val="404040" w:themeColor="text1" w:themeTint="BF"/>
          <w:lang w:val="pt-PT"/>
        </w:rPr>
        <w:t>.</w:t>
      </w:r>
      <w:r w:rsidR="04A04065" w:rsidRPr="00781F53">
        <w:rPr>
          <w:rFonts w:ascii="Arial" w:hAnsi="Arial" w:cs="Arial"/>
          <w:color w:val="404040" w:themeColor="text1" w:themeTint="BF"/>
          <w:lang w:val="pt-PT"/>
        </w:rPr>
        <w:t xml:space="preserve"> </w:t>
      </w:r>
    </w:p>
    <w:p w14:paraId="65B88144" w14:textId="038E92FE" w:rsidR="00880D43" w:rsidRPr="00781F53" w:rsidRDefault="00B555B2"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 xml:space="preserve">A partir de </w:t>
      </w:r>
      <w:r w:rsidRPr="00B555B2">
        <w:rPr>
          <w:rFonts w:ascii="Arial" w:hAnsi="Arial" w:cs="Arial"/>
          <w:color w:val="404040" w:themeColor="text1" w:themeTint="BF"/>
          <w:lang w:val="pt-PT"/>
        </w:rPr>
        <w:t xml:space="preserve">uma base </w:t>
      </w:r>
      <w:r>
        <w:rPr>
          <w:rFonts w:ascii="Arial" w:hAnsi="Arial" w:cs="Arial"/>
          <w:color w:val="404040" w:themeColor="text1" w:themeTint="BF"/>
          <w:lang w:val="pt-PT"/>
        </w:rPr>
        <w:t xml:space="preserve">já </w:t>
      </w:r>
      <w:r w:rsidRPr="00B555B2">
        <w:rPr>
          <w:rFonts w:ascii="Arial" w:hAnsi="Arial" w:cs="Arial"/>
          <w:color w:val="404040" w:themeColor="text1" w:themeTint="BF"/>
          <w:lang w:val="pt-PT"/>
        </w:rPr>
        <w:t xml:space="preserve">elevada em 2020, os volumes de encomendas da Mondial Relay FY 2021 aumentaram 36%, levando a um crescimento de 29% de receitas numa base anual. O EBITDA </w:t>
      </w:r>
      <w:r>
        <w:rPr>
          <w:rFonts w:ascii="Arial" w:hAnsi="Arial" w:cs="Arial"/>
          <w:color w:val="404040" w:themeColor="text1" w:themeTint="BF"/>
          <w:lang w:val="pt-PT"/>
        </w:rPr>
        <w:t>a</w:t>
      </w:r>
      <w:r w:rsidRPr="00B555B2">
        <w:rPr>
          <w:rFonts w:ascii="Arial" w:hAnsi="Arial" w:cs="Arial"/>
          <w:color w:val="404040" w:themeColor="text1" w:themeTint="BF"/>
          <w:lang w:val="pt-PT"/>
        </w:rPr>
        <w:t xml:space="preserve">justado </w:t>
      </w:r>
      <w:proofErr w:type="spellStart"/>
      <w:r w:rsidRPr="00B555B2">
        <w:rPr>
          <w:rFonts w:ascii="Arial" w:hAnsi="Arial" w:cs="Arial"/>
          <w:color w:val="404040" w:themeColor="text1" w:themeTint="BF"/>
          <w:lang w:val="pt-PT"/>
        </w:rPr>
        <w:t>pr</w:t>
      </w:r>
      <w:r>
        <w:rPr>
          <w:rFonts w:ascii="Arial" w:hAnsi="Arial" w:cs="Arial"/>
          <w:color w:val="404040" w:themeColor="text1" w:themeTint="BF"/>
          <w:lang w:val="pt-PT"/>
        </w:rPr>
        <w:t>o</w:t>
      </w:r>
      <w:r w:rsidRPr="00B555B2">
        <w:rPr>
          <w:rFonts w:ascii="Arial" w:hAnsi="Arial" w:cs="Arial"/>
          <w:color w:val="404040" w:themeColor="text1" w:themeTint="BF"/>
          <w:lang w:val="pt-PT"/>
        </w:rPr>
        <w:t>-forma</w:t>
      </w:r>
      <w:proofErr w:type="spellEnd"/>
      <w:r w:rsidRPr="00781F53">
        <w:rPr>
          <w:rFonts w:ascii="Arial" w:hAnsi="Arial" w:cs="Arial"/>
          <w:color w:val="404040" w:themeColor="text1" w:themeTint="BF"/>
          <w:vertAlign w:val="superscript"/>
          <w:lang w:val="pt-PT"/>
        </w:rPr>
        <w:footnoteReference w:id="4"/>
      </w:r>
      <w:r w:rsidRPr="00B555B2">
        <w:rPr>
          <w:rFonts w:ascii="Arial" w:hAnsi="Arial" w:cs="Arial"/>
          <w:color w:val="404040" w:themeColor="text1" w:themeTint="BF"/>
          <w:lang w:val="pt-PT"/>
        </w:rPr>
        <w:t xml:space="preserve"> atingiu </w:t>
      </w:r>
      <w:proofErr w:type="gramStart"/>
      <w:r w:rsidRPr="00B555B2">
        <w:rPr>
          <w:rFonts w:ascii="Arial" w:hAnsi="Arial" w:cs="Arial"/>
          <w:color w:val="404040" w:themeColor="text1" w:themeTint="BF"/>
          <w:lang w:val="pt-PT"/>
        </w:rPr>
        <w:t>404 milhões de</w:t>
      </w:r>
      <w:proofErr w:type="gramEnd"/>
      <w:r w:rsidRPr="00B555B2">
        <w:rPr>
          <w:rFonts w:ascii="Arial" w:hAnsi="Arial" w:cs="Arial"/>
          <w:color w:val="404040" w:themeColor="text1" w:themeTint="BF"/>
          <w:lang w:val="pt-PT"/>
        </w:rPr>
        <w:t xml:space="preserve"> </w:t>
      </w:r>
      <w:proofErr w:type="gramStart"/>
      <w:r>
        <w:rPr>
          <w:rFonts w:ascii="Arial" w:hAnsi="Arial" w:cs="Arial"/>
          <w:color w:val="404040" w:themeColor="text1" w:themeTint="BF"/>
          <w:lang w:val="pt-PT"/>
        </w:rPr>
        <w:t>zloty</w:t>
      </w:r>
      <w:proofErr w:type="gramEnd"/>
      <w:r w:rsidRPr="00B555B2">
        <w:rPr>
          <w:rFonts w:ascii="Arial" w:hAnsi="Arial" w:cs="Arial"/>
          <w:color w:val="404040" w:themeColor="text1" w:themeTint="BF"/>
          <w:lang w:val="pt-PT"/>
        </w:rPr>
        <w:t xml:space="preserve"> com uma margem de 17,7%.</w:t>
      </w:r>
      <w:r w:rsidR="00880D43" w:rsidRPr="00781F53">
        <w:rPr>
          <w:rFonts w:ascii="Arial" w:hAnsi="Arial" w:cs="Arial"/>
          <w:color w:val="404040" w:themeColor="text1" w:themeTint="BF"/>
          <w:lang w:val="pt-PT"/>
        </w:rPr>
        <w:t xml:space="preserve"> </w:t>
      </w:r>
    </w:p>
    <w:p w14:paraId="130AF2DC" w14:textId="77777777" w:rsidR="00F5707D" w:rsidRDefault="001C59D9" w:rsidP="00F5707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1C59D9">
        <w:rPr>
          <w:rFonts w:ascii="Arial" w:hAnsi="Arial" w:cs="Arial"/>
          <w:color w:val="404040" w:themeColor="text1" w:themeTint="BF"/>
          <w:lang w:val="pt-PT"/>
        </w:rPr>
        <w:t>Em 2021, a Mondial Relay implantou mais de 300 máquinas de encomendas automáticas em França para além dos seus mais de 11.000 pontos PUDO existentes. Os resultados iniciais mostram uma forte adoção precoce da solução APM pelos consumidores franceses, com uma melhoria substancial dos tempos de recolha dos consumidores em relação ao PUDO.</w:t>
      </w:r>
    </w:p>
    <w:p w14:paraId="34D6D17C" w14:textId="59E45CE1" w:rsidR="00880D43" w:rsidRPr="00F5707D" w:rsidRDefault="00F5707D" w:rsidP="00F5707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5707D">
        <w:rPr>
          <w:rFonts w:ascii="Arial" w:hAnsi="Arial" w:cs="Arial"/>
          <w:color w:val="404040" w:themeColor="text1" w:themeTint="BF"/>
          <w:lang w:val="pt-PT"/>
        </w:rPr>
        <w:t xml:space="preserve">A </w:t>
      </w:r>
      <w:r>
        <w:rPr>
          <w:rFonts w:ascii="Arial" w:hAnsi="Arial" w:cs="Arial"/>
          <w:color w:val="404040" w:themeColor="text1" w:themeTint="BF"/>
          <w:lang w:val="pt-PT"/>
        </w:rPr>
        <w:t>e</w:t>
      </w:r>
      <w:r w:rsidRPr="00F5707D">
        <w:rPr>
          <w:rFonts w:ascii="Arial" w:hAnsi="Arial" w:cs="Arial"/>
          <w:color w:val="404040" w:themeColor="text1" w:themeTint="BF"/>
          <w:lang w:val="pt-PT"/>
        </w:rPr>
        <w:t xml:space="preserve">mpresa acelerou também os esforços para melhorar a densidade da rede logística, incluindo um novo centro logístico em </w:t>
      </w:r>
      <w:proofErr w:type="spellStart"/>
      <w:r w:rsidRPr="00F5707D">
        <w:rPr>
          <w:rFonts w:ascii="Arial" w:hAnsi="Arial" w:cs="Arial"/>
          <w:color w:val="404040" w:themeColor="text1" w:themeTint="BF"/>
          <w:lang w:val="pt-PT"/>
        </w:rPr>
        <w:t>Reau</w:t>
      </w:r>
      <w:proofErr w:type="spellEnd"/>
      <w:r w:rsidRPr="00F5707D">
        <w:rPr>
          <w:rFonts w:ascii="Arial" w:hAnsi="Arial" w:cs="Arial"/>
          <w:color w:val="404040" w:themeColor="text1" w:themeTint="BF"/>
          <w:lang w:val="pt-PT"/>
        </w:rPr>
        <w:t xml:space="preserve"> e o investimento na automatização da </w:t>
      </w:r>
      <w:r>
        <w:rPr>
          <w:rFonts w:ascii="Arial" w:hAnsi="Arial" w:cs="Arial"/>
          <w:color w:val="404040" w:themeColor="text1" w:themeTint="BF"/>
          <w:lang w:val="pt-PT"/>
        </w:rPr>
        <w:t>separação</w:t>
      </w:r>
      <w:r w:rsidRPr="00F5707D">
        <w:rPr>
          <w:rFonts w:ascii="Arial" w:hAnsi="Arial" w:cs="Arial"/>
          <w:color w:val="404040" w:themeColor="text1" w:themeTint="BF"/>
          <w:lang w:val="pt-PT"/>
        </w:rPr>
        <w:t>. Isto aumenta a capacidade de crescimento e permite uma redução significativa dos prazos de entrega. Juntamente com uma rede APM em crescimento, isto deverá permitir à Mondial Relay melhorar a sua oferta de produtos comerciais, melhorar a satisfação do cliente, e elevar a marca Mondial Relay.</w:t>
      </w:r>
    </w:p>
    <w:p w14:paraId="5E9A7581" w14:textId="77777777" w:rsidR="00F5707D" w:rsidRDefault="00F5707D" w:rsidP="00FF6CDE">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5707D">
        <w:rPr>
          <w:rFonts w:ascii="Arial" w:hAnsi="Arial" w:cs="Arial"/>
          <w:color w:val="404040" w:themeColor="text1" w:themeTint="BF"/>
          <w:lang w:val="pt-PT"/>
        </w:rPr>
        <w:t xml:space="preserve">A Mondial Relay também está a fazer progressos significativos no </w:t>
      </w:r>
      <w:proofErr w:type="gramStart"/>
      <w:r w:rsidRPr="00F5707D">
        <w:rPr>
          <w:rFonts w:ascii="Arial" w:hAnsi="Arial" w:cs="Arial"/>
          <w:color w:val="404040" w:themeColor="text1" w:themeTint="BF"/>
          <w:lang w:val="pt-PT"/>
        </w:rPr>
        <w:t>pipeline</w:t>
      </w:r>
      <w:proofErr w:type="gramEnd"/>
      <w:r w:rsidRPr="00F5707D">
        <w:rPr>
          <w:rFonts w:ascii="Arial" w:hAnsi="Arial" w:cs="Arial"/>
          <w:color w:val="404040" w:themeColor="text1" w:themeTint="BF"/>
          <w:lang w:val="pt-PT"/>
        </w:rPr>
        <w:t xml:space="preserve"> para acelerar a implantação da rede APM. Em 2022, a empresa pretende lançar 2 a 3 mil novos </w:t>
      </w:r>
      <w:proofErr w:type="spellStart"/>
      <w:r w:rsidRPr="00F5707D">
        <w:rPr>
          <w:rFonts w:ascii="Arial" w:hAnsi="Arial" w:cs="Arial"/>
          <w:color w:val="404040" w:themeColor="text1" w:themeTint="BF"/>
          <w:lang w:val="pt-PT"/>
        </w:rPr>
        <w:t>APMs</w:t>
      </w:r>
      <w:proofErr w:type="spellEnd"/>
      <w:r w:rsidRPr="00F5707D">
        <w:rPr>
          <w:rFonts w:ascii="Arial" w:hAnsi="Arial" w:cs="Arial"/>
          <w:color w:val="404040" w:themeColor="text1" w:themeTint="BF"/>
          <w:lang w:val="pt-PT"/>
        </w:rPr>
        <w:t>.</w:t>
      </w:r>
    </w:p>
    <w:p w14:paraId="5C528E83" w14:textId="05F2C836" w:rsidR="00F5707D" w:rsidRPr="00F5707D" w:rsidRDefault="00F5707D" w:rsidP="00F5707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5707D">
        <w:rPr>
          <w:rFonts w:ascii="Arial" w:hAnsi="Arial" w:cs="Arial"/>
          <w:color w:val="404040" w:themeColor="text1" w:themeTint="BF"/>
          <w:lang w:val="pt-PT"/>
        </w:rPr>
        <w:t>Impulsionada por uma logística melhorada, por um melhor tempo de entrega e pela implementação do APM, a empresa continua no bom caminho para ver 100-150 milhões de euros de EBITDA incremental a médio prazo, tal como comunicado no momento da aquisição.</w:t>
      </w:r>
      <w:r>
        <w:rPr>
          <w:rFonts w:ascii="Arial" w:hAnsi="Arial" w:cs="Arial"/>
          <w:color w:val="404040" w:themeColor="text1" w:themeTint="BF"/>
          <w:lang w:val="pt-PT"/>
        </w:rPr>
        <w:br/>
      </w:r>
    </w:p>
    <w:p w14:paraId="4101CB79" w14:textId="16A8B994" w:rsidR="00880D43" w:rsidRPr="00781F53" w:rsidRDefault="006247B4" w:rsidP="00781F53">
      <w:pPr>
        <w:spacing w:after="60" w:line="276" w:lineRule="auto"/>
        <w:ind w:right="-425"/>
        <w:rPr>
          <w:rFonts w:ascii="Arial" w:hAnsi="Arial" w:cs="Arial"/>
          <w:b/>
          <w:color w:val="404040" w:themeColor="text1" w:themeTint="BF"/>
          <w:lang w:val="pt-PT"/>
        </w:rPr>
      </w:pPr>
      <w:r w:rsidRPr="006247B4">
        <w:rPr>
          <w:rFonts w:ascii="Arial" w:hAnsi="Arial" w:cs="Arial"/>
          <w:b/>
          <w:color w:val="404040" w:themeColor="text1" w:themeTint="BF"/>
          <w:lang w:val="pt-PT"/>
        </w:rPr>
        <w:t>PARCERIAS PAN-EUROPEIAS TRANSFRONTEIRIÇAS &amp; DEMOGR</w:t>
      </w:r>
      <w:r>
        <w:rPr>
          <w:rFonts w:ascii="Arial" w:hAnsi="Arial" w:cs="Arial"/>
          <w:b/>
          <w:color w:val="404040" w:themeColor="text1" w:themeTint="BF"/>
          <w:lang w:val="pt-PT"/>
        </w:rPr>
        <w:t>A</w:t>
      </w:r>
      <w:r w:rsidRPr="006247B4">
        <w:rPr>
          <w:rFonts w:ascii="Arial" w:hAnsi="Arial" w:cs="Arial"/>
          <w:b/>
          <w:color w:val="404040" w:themeColor="text1" w:themeTint="BF"/>
          <w:lang w:val="pt-PT"/>
        </w:rPr>
        <w:t>FI</w:t>
      </w:r>
      <w:r>
        <w:rPr>
          <w:rFonts w:ascii="Arial" w:hAnsi="Arial" w:cs="Arial"/>
          <w:b/>
          <w:color w:val="404040" w:themeColor="text1" w:themeTint="BF"/>
          <w:lang w:val="pt-PT"/>
        </w:rPr>
        <w:t>AS CHAVE</w:t>
      </w:r>
    </w:p>
    <w:p w14:paraId="5052BB0A" w14:textId="100BF6B0" w:rsidR="00C326FC" w:rsidRDefault="006247B4" w:rsidP="00781F53">
      <w:pPr>
        <w:spacing w:after="120" w:line="276" w:lineRule="auto"/>
        <w:ind w:right="-425"/>
        <w:rPr>
          <w:rFonts w:ascii="Arial" w:hAnsi="Arial" w:cs="Arial"/>
          <w:b/>
          <w:bCs/>
          <w:color w:val="404040" w:themeColor="text1" w:themeTint="BF"/>
          <w:lang w:val="pt-PT"/>
        </w:rPr>
      </w:pPr>
      <w:r w:rsidRPr="006247B4">
        <w:rPr>
          <w:rFonts w:ascii="Arial" w:hAnsi="Arial" w:cs="Arial"/>
          <w:color w:val="404040" w:themeColor="text1" w:themeTint="BF"/>
          <w:lang w:val="pt-PT"/>
        </w:rPr>
        <w:t xml:space="preserve">As parcerias pan-europeias com grandes clientes europeus permitem a cooperação transfronteiriça e facilitam experiências uniformes dos consumidores em numerosos mercados, ao mesmo tempo que otimizam os custos dos comerciantes para o fluxo de volume transfronteiriço. A expansão de parcerias está no centro da estratégia europeia da </w:t>
      </w:r>
      <w:proofErr w:type="spellStart"/>
      <w:r w:rsidRPr="006247B4">
        <w:rPr>
          <w:rFonts w:ascii="Arial" w:hAnsi="Arial" w:cs="Arial"/>
          <w:color w:val="404040" w:themeColor="text1" w:themeTint="BF"/>
          <w:lang w:val="pt-PT"/>
        </w:rPr>
        <w:t>InPost</w:t>
      </w:r>
      <w:proofErr w:type="spellEnd"/>
      <w:r w:rsidRPr="006247B4">
        <w:rPr>
          <w:rFonts w:ascii="Arial" w:hAnsi="Arial" w:cs="Arial"/>
          <w:color w:val="404040" w:themeColor="text1" w:themeTint="BF"/>
          <w:lang w:val="pt-PT"/>
        </w:rPr>
        <w:t xml:space="preserve">. Em 2021 </w:t>
      </w:r>
      <w:r>
        <w:rPr>
          <w:rFonts w:ascii="Arial" w:hAnsi="Arial" w:cs="Arial"/>
          <w:color w:val="404040" w:themeColor="text1" w:themeTint="BF"/>
          <w:lang w:val="pt-PT"/>
        </w:rPr>
        <w:t>a</w:t>
      </w:r>
      <w:r w:rsidRPr="006247B4">
        <w:rPr>
          <w:rFonts w:ascii="Arial" w:hAnsi="Arial" w:cs="Arial"/>
          <w:color w:val="404040" w:themeColor="text1" w:themeTint="BF"/>
          <w:lang w:val="pt-PT"/>
        </w:rPr>
        <w:t xml:space="preserve"> </w:t>
      </w:r>
      <w:proofErr w:type="spellStart"/>
      <w:r w:rsidRPr="006247B4">
        <w:rPr>
          <w:rFonts w:ascii="Arial" w:hAnsi="Arial" w:cs="Arial"/>
          <w:color w:val="404040" w:themeColor="text1" w:themeTint="BF"/>
          <w:lang w:val="pt-PT"/>
        </w:rPr>
        <w:t>InPost</w:t>
      </w:r>
      <w:proofErr w:type="spellEnd"/>
      <w:r w:rsidRPr="006247B4">
        <w:rPr>
          <w:rFonts w:ascii="Arial" w:hAnsi="Arial" w:cs="Arial"/>
          <w:color w:val="404040" w:themeColor="text1" w:themeTint="BF"/>
          <w:lang w:val="pt-PT"/>
        </w:rPr>
        <w:t xml:space="preserve"> acordou uma parceria de 5 anos em todos os seus mercados com a </w:t>
      </w:r>
      <w:proofErr w:type="spellStart"/>
      <w:r w:rsidRPr="006247B4">
        <w:rPr>
          <w:rFonts w:ascii="Arial" w:hAnsi="Arial" w:cs="Arial"/>
          <w:color w:val="404040" w:themeColor="text1" w:themeTint="BF"/>
          <w:lang w:val="pt-PT"/>
        </w:rPr>
        <w:t>Vinted</w:t>
      </w:r>
      <w:proofErr w:type="spellEnd"/>
      <w:r w:rsidRPr="006247B4">
        <w:rPr>
          <w:rFonts w:ascii="Arial" w:hAnsi="Arial" w:cs="Arial"/>
          <w:color w:val="404040" w:themeColor="text1" w:themeTint="BF"/>
          <w:lang w:val="pt-PT"/>
        </w:rPr>
        <w:t xml:space="preserve">, o principal </w:t>
      </w:r>
      <w:proofErr w:type="spellStart"/>
      <w:r w:rsidRPr="006247B4">
        <w:rPr>
          <w:rFonts w:ascii="Arial" w:hAnsi="Arial" w:cs="Arial"/>
          <w:color w:val="404040" w:themeColor="text1" w:themeTint="BF"/>
          <w:lang w:val="pt-PT"/>
        </w:rPr>
        <w:t>m</w:t>
      </w:r>
      <w:r>
        <w:rPr>
          <w:rFonts w:ascii="Arial" w:hAnsi="Arial" w:cs="Arial"/>
          <w:color w:val="404040" w:themeColor="text1" w:themeTint="BF"/>
          <w:lang w:val="pt-PT"/>
        </w:rPr>
        <w:t>arketplace</w:t>
      </w:r>
      <w:proofErr w:type="spellEnd"/>
      <w:r w:rsidRPr="006247B4">
        <w:rPr>
          <w:rFonts w:ascii="Arial" w:hAnsi="Arial" w:cs="Arial"/>
          <w:color w:val="404040" w:themeColor="text1" w:themeTint="BF"/>
          <w:lang w:val="pt-PT"/>
        </w:rPr>
        <w:t xml:space="preserve"> C2C. Isto não só proporcionará volume à medida que a empresa se expande internacionalmente, como também alinha a empresa com uma demografia jovem orientada para a sustentabilidade, que está no centro da base de consumidores de moda em segunda mão da </w:t>
      </w:r>
      <w:proofErr w:type="spellStart"/>
      <w:r w:rsidRPr="006247B4">
        <w:rPr>
          <w:rFonts w:ascii="Arial" w:hAnsi="Arial" w:cs="Arial"/>
          <w:color w:val="404040" w:themeColor="text1" w:themeTint="BF"/>
          <w:lang w:val="pt-PT"/>
        </w:rPr>
        <w:t>Vinted</w:t>
      </w:r>
      <w:proofErr w:type="spellEnd"/>
      <w:r w:rsidRPr="006247B4">
        <w:rPr>
          <w:rFonts w:ascii="Arial" w:hAnsi="Arial" w:cs="Arial"/>
          <w:color w:val="404040" w:themeColor="text1" w:themeTint="BF"/>
          <w:lang w:val="pt-PT"/>
        </w:rPr>
        <w:t xml:space="preserve">. À medida que os consumidores </w:t>
      </w:r>
      <w:proofErr w:type="spellStart"/>
      <w:r w:rsidRPr="006247B4">
        <w:rPr>
          <w:rFonts w:ascii="Arial" w:hAnsi="Arial" w:cs="Arial"/>
          <w:color w:val="404040" w:themeColor="text1" w:themeTint="BF"/>
          <w:lang w:val="pt-PT"/>
        </w:rPr>
        <w:t>Vinted</w:t>
      </w:r>
      <w:proofErr w:type="spellEnd"/>
      <w:r w:rsidRPr="006247B4">
        <w:rPr>
          <w:rFonts w:ascii="Arial" w:hAnsi="Arial" w:cs="Arial"/>
          <w:color w:val="404040" w:themeColor="text1" w:themeTint="BF"/>
          <w:lang w:val="pt-PT"/>
        </w:rPr>
        <w:t xml:space="preserve"> em toda a Europa experimentam a conveniência da oferta </w:t>
      </w:r>
      <w:proofErr w:type="spellStart"/>
      <w:r w:rsidRPr="006247B4">
        <w:rPr>
          <w:rFonts w:ascii="Arial" w:hAnsi="Arial" w:cs="Arial"/>
          <w:color w:val="404040" w:themeColor="text1" w:themeTint="BF"/>
          <w:lang w:val="pt-PT"/>
        </w:rPr>
        <w:t>InPost</w:t>
      </w:r>
      <w:proofErr w:type="spellEnd"/>
      <w:r w:rsidRPr="006247B4">
        <w:rPr>
          <w:rFonts w:ascii="Arial" w:hAnsi="Arial" w:cs="Arial"/>
          <w:color w:val="404040" w:themeColor="text1" w:themeTint="BF"/>
          <w:lang w:val="pt-PT"/>
        </w:rPr>
        <w:t xml:space="preserve">, é provável que não só se tornem consumidores leais durante toda a vida, mas também defensores de </w:t>
      </w:r>
      <w:r w:rsidR="001B506A">
        <w:rPr>
          <w:rFonts w:ascii="Arial" w:hAnsi="Arial" w:cs="Arial"/>
          <w:color w:val="404040" w:themeColor="text1" w:themeTint="BF"/>
          <w:lang w:val="pt-PT"/>
        </w:rPr>
        <w:t>‘</w:t>
      </w:r>
      <w:proofErr w:type="spellStart"/>
      <w:r w:rsidR="001B506A">
        <w:rPr>
          <w:rFonts w:ascii="Arial" w:hAnsi="Arial" w:cs="Arial"/>
          <w:color w:val="404040" w:themeColor="text1" w:themeTint="BF"/>
          <w:lang w:val="pt-PT"/>
        </w:rPr>
        <w:t>lockers</w:t>
      </w:r>
      <w:proofErr w:type="spellEnd"/>
      <w:r w:rsidR="001B506A">
        <w:rPr>
          <w:rFonts w:ascii="Arial" w:hAnsi="Arial" w:cs="Arial"/>
          <w:color w:val="404040" w:themeColor="text1" w:themeTint="BF"/>
          <w:lang w:val="pt-PT"/>
        </w:rPr>
        <w:t>’</w:t>
      </w:r>
      <w:r w:rsidRPr="006247B4">
        <w:rPr>
          <w:rFonts w:ascii="Arial" w:hAnsi="Arial" w:cs="Arial"/>
          <w:color w:val="404040" w:themeColor="text1" w:themeTint="BF"/>
          <w:lang w:val="pt-PT"/>
        </w:rPr>
        <w:t xml:space="preserve"> mais sustentáveis.</w:t>
      </w:r>
      <w:r>
        <w:rPr>
          <w:rFonts w:ascii="Arial" w:hAnsi="Arial" w:cs="Arial"/>
          <w:color w:val="404040" w:themeColor="text1" w:themeTint="BF"/>
          <w:lang w:val="pt-PT"/>
        </w:rPr>
        <w:br/>
      </w:r>
      <w:r>
        <w:rPr>
          <w:rFonts w:ascii="Arial" w:hAnsi="Arial" w:cs="Arial"/>
          <w:color w:val="404040" w:themeColor="text1" w:themeTint="BF"/>
          <w:lang w:val="pt-PT"/>
        </w:rPr>
        <w:br/>
      </w:r>
      <w:r w:rsidR="00C326FC" w:rsidRPr="00C326FC">
        <w:rPr>
          <w:rFonts w:ascii="Arial" w:hAnsi="Arial" w:cs="Arial"/>
          <w:b/>
          <w:bCs/>
          <w:color w:val="404040" w:themeColor="text1" w:themeTint="BF"/>
          <w:lang w:val="pt-PT"/>
        </w:rPr>
        <w:t xml:space="preserve">GANHOS SIGNIFICATIVOS </w:t>
      </w:r>
      <w:r w:rsidR="00C326FC">
        <w:rPr>
          <w:rFonts w:ascii="Arial" w:hAnsi="Arial" w:cs="Arial"/>
          <w:b/>
          <w:bCs/>
          <w:color w:val="404040" w:themeColor="text1" w:themeTint="BF"/>
          <w:lang w:val="pt-PT"/>
        </w:rPr>
        <w:t xml:space="preserve">NO RU </w:t>
      </w:r>
      <w:r w:rsidR="00C326FC" w:rsidRPr="00C326FC">
        <w:rPr>
          <w:rFonts w:ascii="Arial" w:hAnsi="Arial" w:cs="Arial"/>
          <w:b/>
          <w:bCs/>
          <w:color w:val="404040" w:themeColor="text1" w:themeTint="BF"/>
          <w:lang w:val="pt-PT"/>
        </w:rPr>
        <w:t xml:space="preserve">COM OS PRINCIPAIS COMERCIANTES DE MODA </w:t>
      </w:r>
    </w:p>
    <w:p w14:paraId="54DCD1F3" w14:textId="59213E0C" w:rsidR="00880D43" w:rsidRPr="00781F53" w:rsidRDefault="00C326FC" w:rsidP="00147E45">
      <w:pPr>
        <w:spacing w:after="120" w:line="276" w:lineRule="auto"/>
        <w:ind w:right="-425"/>
        <w:rPr>
          <w:rFonts w:ascii="Arial" w:hAnsi="Arial" w:cs="Arial"/>
          <w:color w:val="404040" w:themeColor="text1" w:themeTint="BF"/>
          <w:lang w:val="pt-PT"/>
        </w:rPr>
      </w:pPr>
      <w:r w:rsidRPr="00C326FC">
        <w:rPr>
          <w:rFonts w:ascii="Arial" w:hAnsi="Arial" w:cs="Arial"/>
          <w:color w:val="404040" w:themeColor="text1" w:themeTint="BF"/>
          <w:lang w:val="pt-PT"/>
        </w:rPr>
        <w:t xml:space="preserve">O Reino Unido é o maior mercado europeu de comércio eletrónico, no valor de cerca de 113 mil milhões de libras esterlinas. Dentro deste, o setor da moda </w:t>
      </w:r>
      <w:proofErr w:type="gramStart"/>
      <w:r w:rsidRPr="00C326FC">
        <w:rPr>
          <w:rFonts w:ascii="Arial" w:hAnsi="Arial" w:cs="Arial"/>
          <w:color w:val="404040" w:themeColor="text1" w:themeTint="BF"/>
          <w:lang w:val="pt-PT"/>
        </w:rPr>
        <w:t>online</w:t>
      </w:r>
      <w:proofErr w:type="gramEnd"/>
      <w:r w:rsidRPr="00C326FC">
        <w:rPr>
          <w:rFonts w:ascii="Arial" w:hAnsi="Arial" w:cs="Arial"/>
          <w:color w:val="404040" w:themeColor="text1" w:themeTint="BF"/>
          <w:lang w:val="pt-PT"/>
        </w:rPr>
        <w:t xml:space="preserve">, em rápido crescimento, tem elevados níveis de </w:t>
      </w:r>
      <w:r>
        <w:rPr>
          <w:rFonts w:ascii="Arial" w:hAnsi="Arial" w:cs="Arial"/>
          <w:color w:val="404040" w:themeColor="text1" w:themeTint="BF"/>
          <w:lang w:val="pt-PT"/>
        </w:rPr>
        <w:t>devoluções</w:t>
      </w:r>
      <w:r w:rsidRPr="00C326FC">
        <w:rPr>
          <w:rFonts w:ascii="Arial" w:hAnsi="Arial" w:cs="Arial"/>
          <w:color w:val="404040" w:themeColor="text1" w:themeTint="BF"/>
          <w:lang w:val="pt-PT"/>
        </w:rPr>
        <w:t xml:space="preserve">, o que é altamente ineficiente e dispendioso para os comerciantes. A proposta de cacifo da </w:t>
      </w:r>
      <w:proofErr w:type="spellStart"/>
      <w:r w:rsidRPr="00C326FC">
        <w:rPr>
          <w:rFonts w:ascii="Arial" w:hAnsi="Arial" w:cs="Arial"/>
          <w:color w:val="404040" w:themeColor="text1" w:themeTint="BF"/>
          <w:lang w:val="pt-PT"/>
        </w:rPr>
        <w:t>InPost</w:t>
      </w:r>
      <w:proofErr w:type="spellEnd"/>
      <w:r w:rsidRPr="00C326FC">
        <w:rPr>
          <w:rFonts w:ascii="Arial" w:hAnsi="Arial" w:cs="Arial"/>
          <w:color w:val="404040" w:themeColor="text1" w:themeTint="BF"/>
          <w:lang w:val="pt-PT"/>
        </w:rPr>
        <w:t xml:space="preserve">, que é a primeira rede APM disponível para </w:t>
      </w:r>
      <w:r w:rsidR="00147E45">
        <w:rPr>
          <w:rFonts w:ascii="Arial" w:hAnsi="Arial" w:cs="Arial"/>
          <w:color w:val="404040" w:themeColor="text1" w:themeTint="BF"/>
          <w:lang w:val="pt-PT"/>
        </w:rPr>
        <w:t>todas as lojas de comércio eletrónico</w:t>
      </w:r>
      <w:r w:rsidRPr="00C326FC">
        <w:rPr>
          <w:rFonts w:ascii="Arial" w:hAnsi="Arial" w:cs="Arial"/>
          <w:color w:val="404040" w:themeColor="text1" w:themeTint="BF"/>
          <w:lang w:val="pt-PT"/>
        </w:rPr>
        <w:t xml:space="preserve">, não só é muito económica para os comerciantes, como também oferece uma experiência de </w:t>
      </w:r>
      <w:r w:rsidR="00147E45">
        <w:rPr>
          <w:rFonts w:ascii="Arial" w:hAnsi="Arial" w:cs="Arial"/>
          <w:color w:val="404040" w:themeColor="text1" w:themeTint="BF"/>
          <w:lang w:val="pt-PT"/>
        </w:rPr>
        <w:t xml:space="preserve">devolução </w:t>
      </w:r>
      <w:r w:rsidRPr="00C326FC">
        <w:rPr>
          <w:rFonts w:ascii="Arial" w:hAnsi="Arial" w:cs="Arial"/>
          <w:color w:val="404040" w:themeColor="text1" w:themeTint="BF"/>
          <w:lang w:val="pt-PT"/>
        </w:rPr>
        <w:t>muito mais simples para os seus clientes.</w:t>
      </w:r>
      <w:r>
        <w:rPr>
          <w:rFonts w:ascii="Arial" w:hAnsi="Arial" w:cs="Arial"/>
          <w:b/>
          <w:bCs/>
          <w:color w:val="404040" w:themeColor="text1" w:themeTint="BF"/>
          <w:lang w:val="pt-PT"/>
        </w:rPr>
        <w:br/>
      </w:r>
      <w:r w:rsidR="00147E45">
        <w:rPr>
          <w:rFonts w:ascii="Arial" w:hAnsi="Arial" w:cs="Arial"/>
          <w:color w:val="404040" w:themeColor="text1" w:themeTint="BF"/>
          <w:lang w:val="pt-PT"/>
        </w:rPr>
        <w:br/>
      </w:r>
      <w:r w:rsidR="00147E45" w:rsidRPr="00147E45">
        <w:rPr>
          <w:rFonts w:ascii="Arial" w:hAnsi="Arial" w:cs="Arial"/>
          <w:color w:val="404040" w:themeColor="text1" w:themeTint="BF"/>
          <w:lang w:val="pt-PT"/>
        </w:rPr>
        <w:t xml:space="preserve">Em 2021, </w:t>
      </w:r>
      <w:r w:rsidR="00147E45">
        <w:rPr>
          <w:rFonts w:ascii="Arial" w:hAnsi="Arial" w:cs="Arial"/>
          <w:color w:val="404040" w:themeColor="text1" w:themeTint="BF"/>
          <w:lang w:val="pt-PT"/>
        </w:rPr>
        <w:t>a</w:t>
      </w:r>
      <w:r w:rsidR="00147E45" w:rsidRPr="00147E45">
        <w:rPr>
          <w:rFonts w:ascii="Arial" w:hAnsi="Arial" w:cs="Arial"/>
          <w:color w:val="404040" w:themeColor="text1" w:themeTint="BF"/>
          <w:lang w:val="pt-PT"/>
        </w:rPr>
        <w:t xml:space="preserve"> </w:t>
      </w:r>
      <w:proofErr w:type="spellStart"/>
      <w:r w:rsidR="00147E45" w:rsidRPr="00147E45">
        <w:rPr>
          <w:rFonts w:ascii="Arial" w:hAnsi="Arial" w:cs="Arial"/>
          <w:color w:val="404040" w:themeColor="text1" w:themeTint="BF"/>
          <w:lang w:val="pt-PT"/>
        </w:rPr>
        <w:t>InPost</w:t>
      </w:r>
      <w:proofErr w:type="spellEnd"/>
      <w:r w:rsidR="00147E45" w:rsidRPr="00147E45">
        <w:rPr>
          <w:rFonts w:ascii="Arial" w:hAnsi="Arial" w:cs="Arial"/>
          <w:color w:val="404040" w:themeColor="text1" w:themeTint="BF"/>
          <w:lang w:val="pt-PT"/>
        </w:rPr>
        <w:t xml:space="preserve"> estabeleceu relações em retornos sem etiquetas com </w:t>
      </w:r>
      <w:proofErr w:type="spellStart"/>
      <w:r w:rsidR="00147E45" w:rsidRPr="00147E45">
        <w:rPr>
          <w:rFonts w:ascii="Arial" w:hAnsi="Arial" w:cs="Arial"/>
          <w:color w:val="404040" w:themeColor="text1" w:themeTint="BF"/>
          <w:lang w:val="pt-PT"/>
        </w:rPr>
        <w:t>Asos</w:t>
      </w:r>
      <w:proofErr w:type="spellEnd"/>
      <w:r w:rsidR="00147E45" w:rsidRPr="00147E45">
        <w:rPr>
          <w:rFonts w:ascii="Arial" w:hAnsi="Arial" w:cs="Arial"/>
          <w:color w:val="404040" w:themeColor="text1" w:themeTint="BF"/>
          <w:lang w:val="pt-PT"/>
        </w:rPr>
        <w:t xml:space="preserve">, </w:t>
      </w:r>
      <w:proofErr w:type="spellStart"/>
      <w:r w:rsidR="00147E45" w:rsidRPr="00147E45">
        <w:rPr>
          <w:rFonts w:ascii="Arial" w:hAnsi="Arial" w:cs="Arial"/>
          <w:color w:val="404040" w:themeColor="text1" w:themeTint="BF"/>
          <w:lang w:val="pt-PT"/>
        </w:rPr>
        <w:t>Missguided</w:t>
      </w:r>
      <w:proofErr w:type="spellEnd"/>
      <w:r w:rsidR="00147E45" w:rsidRPr="00147E45">
        <w:rPr>
          <w:rFonts w:ascii="Arial" w:hAnsi="Arial" w:cs="Arial"/>
          <w:color w:val="404040" w:themeColor="text1" w:themeTint="BF"/>
          <w:lang w:val="pt-PT"/>
        </w:rPr>
        <w:t xml:space="preserve">, </w:t>
      </w:r>
      <w:proofErr w:type="spellStart"/>
      <w:r w:rsidR="00147E45" w:rsidRPr="00147E45">
        <w:rPr>
          <w:rFonts w:ascii="Arial" w:hAnsi="Arial" w:cs="Arial"/>
          <w:color w:val="404040" w:themeColor="text1" w:themeTint="BF"/>
          <w:lang w:val="pt-PT"/>
        </w:rPr>
        <w:t>SuperDry</w:t>
      </w:r>
      <w:proofErr w:type="spellEnd"/>
      <w:r w:rsidR="00147E45" w:rsidRPr="00147E45">
        <w:rPr>
          <w:rFonts w:ascii="Arial" w:hAnsi="Arial" w:cs="Arial"/>
          <w:color w:val="404040" w:themeColor="text1" w:themeTint="BF"/>
          <w:lang w:val="pt-PT"/>
        </w:rPr>
        <w:t xml:space="preserve">, </w:t>
      </w:r>
      <w:proofErr w:type="spellStart"/>
      <w:r w:rsidR="00147E45" w:rsidRPr="00147E45">
        <w:rPr>
          <w:rFonts w:ascii="Arial" w:hAnsi="Arial" w:cs="Arial"/>
          <w:color w:val="404040" w:themeColor="text1" w:themeTint="BF"/>
          <w:lang w:val="pt-PT"/>
        </w:rPr>
        <w:t>boohoo</w:t>
      </w:r>
      <w:proofErr w:type="spellEnd"/>
      <w:r w:rsidR="00147E45" w:rsidRPr="00147E45">
        <w:rPr>
          <w:rFonts w:ascii="Arial" w:hAnsi="Arial" w:cs="Arial"/>
          <w:color w:val="404040" w:themeColor="text1" w:themeTint="BF"/>
          <w:lang w:val="pt-PT"/>
        </w:rPr>
        <w:t xml:space="preserve">, JD </w:t>
      </w:r>
      <w:proofErr w:type="spellStart"/>
      <w:r w:rsidR="00147E45" w:rsidRPr="00147E45">
        <w:rPr>
          <w:rFonts w:ascii="Arial" w:hAnsi="Arial" w:cs="Arial"/>
          <w:color w:val="404040" w:themeColor="text1" w:themeTint="BF"/>
          <w:lang w:val="pt-PT"/>
        </w:rPr>
        <w:t>Sports</w:t>
      </w:r>
      <w:proofErr w:type="spellEnd"/>
      <w:r w:rsidR="00147E45" w:rsidRPr="00147E45">
        <w:rPr>
          <w:rFonts w:ascii="Arial" w:hAnsi="Arial" w:cs="Arial"/>
          <w:color w:val="404040" w:themeColor="text1" w:themeTint="BF"/>
          <w:lang w:val="pt-PT"/>
        </w:rPr>
        <w:t xml:space="preserve"> e muitos mais retalhistas. Isto permitiu à </w:t>
      </w:r>
      <w:proofErr w:type="spellStart"/>
      <w:r w:rsidR="00147E45" w:rsidRPr="00147E45">
        <w:rPr>
          <w:rFonts w:ascii="Arial" w:hAnsi="Arial" w:cs="Arial"/>
          <w:color w:val="404040" w:themeColor="text1" w:themeTint="BF"/>
          <w:lang w:val="pt-PT"/>
        </w:rPr>
        <w:t>InPost</w:t>
      </w:r>
      <w:proofErr w:type="spellEnd"/>
      <w:r w:rsidR="00147E45" w:rsidRPr="00147E45">
        <w:rPr>
          <w:rFonts w:ascii="Arial" w:hAnsi="Arial" w:cs="Arial"/>
          <w:color w:val="404040" w:themeColor="text1" w:themeTint="BF"/>
          <w:lang w:val="pt-PT"/>
        </w:rPr>
        <w:t xml:space="preserve"> oferecer serviços a milhões de consumidores.</w:t>
      </w:r>
    </w:p>
    <w:p w14:paraId="366F3756" w14:textId="0ABADCC4" w:rsidR="00880D43" w:rsidRPr="00781F53" w:rsidRDefault="00F137CE"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137CE">
        <w:rPr>
          <w:rFonts w:ascii="Arial" w:hAnsi="Arial" w:cs="Arial"/>
          <w:color w:val="404040" w:themeColor="text1" w:themeTint="BF"/>
          <w:lang w:val="pt-PT"/>
        </w:rPr>
        <w:t xml:space="preserve">No Reino Unido, a empresa aumentou os volumes totais em 284% para 8,2 milhões de encomendas para o AF2021. As receitas do Reino Unido aumentaram 332% para 2021, e 304% no 4º trimestre de 2021 vs 4º trimestre de 2020. </w:t>
      </w:r>
    </w:p>
    <w:p w14:paraId="63AAB2D6" w14:textId="704780EA" w:rsidR="00880D43" w:rsidRPr="00781F53" w:rsidRDefault="00F137CE"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137CE">
        <w:rPr>
          <w:rFonts w:ascii="Arial" w:hAnsi="Arial" w:cs="Arial"/>
          <w:color w:val="404040" w:themeColor="text1" w:themeTint="BF"/>
          <w:lang w:val="pt-PT"/>
        </w:rPr>
        <w:t xml:space="preserve">A </w:t>
      </w:r>
      <w:proofErr w:type="spellStart"/>
      <w:r w:rsidRPr="00F137CE">
        <w:rPr>
          <w:rFonts w:ascii="Arial" w:hAnsi="Arial" w:cs="Arial"/>
          <w:color w:val="404040" w:themeColor="text1" w:themeTint="BF"/>
          <w:lang w:val="pt-PT"/>
        </w:rPr>
        <w:t>InPost</w:t>
      </w:r>
      <w:proofErr w:type="spellEnd"/>
      <w:r w:rsidRPr="00F137CE">
        <w:rPr>
          <w:rFonts w:ascii="Arial" w:hAnsi="Arial" w:cs="Arial"/>
          <w:color w:val="404040" w:themeColor="text1" w:themeTint="BF"/>
          <w:lang w:val="pt-PT"/>
        </w:rPr>
        <w:t xml:space="preserve"> desenvolveu parcerias líderes de elevado tráfego com </w:t>
      </w:r>
      <w:r>
        <w:rPr>
          <w:rFonts w:ascii="Arial" w:hAnsi="Arial" w:cs="Arial"/>
          <w:color w:val="404040" w:themeColor="text1" w:themeTint="BF"/>
          <w:lang w:val="pt-PT"/>
        </w:rPr>
        <w:t xml:space="preserve">a </w:t>
      </w:r>
      <w:proofErr w:type="spellStart"/>
      <w:r w:rsidRPr="00F137CE">
        <w:rPr>
          <w:rFonts w:ascii="Arial" w:hAnsi="Arial" w:cs="Arial"/>
          <w:color w:val="404040" w:themeColor="text1" w:themeTint="BF"/>
          <w:lang w:val="pt-PT"/>
        </w:rPr>
        <w:t>Transport</w:t>
      </w:r>
      <w:proofErr w:type="spellEnd"/>
      <w:r w:rsidRPr="00F137CE">
        <w:rPr>
          <w:rFonts w:ascii="Arial" w:hAnsi="Arial" w:cs="Arial"/>
          <w:color w:val="404040" w:themeColor="text1" w:themeTint="BF"/>
          <w:lang w:val="pt-PT"/>
        </w:rPr>
        <w:t xml:space="preserve"> for London, </w:t>
      </w:r>
      <w:proofErr w:type="spellStart"/>
      <w:r w:rsidRPr="00F137CE">
        <w:rPr>
          <w:rFonts w:ascii="Arial" w:hAnsi="Arial" w:cs="Arial"/>
          <w:color w:val="404040" w:themeColor="text1" w:themeTint="BF"/>
          <w:lang w:val="pt-PT"/>
        </w:rPr>
        <w:t>Tesco</w:t>
      </w:r>
      <w:proofErr w:type="spellEnd"/>
      <w:r w:rsidRPr="00F137CE">
        <w:rPr>
          <w:rFonts w:ascii="Arial" w:hAnsi="Arial" w:cs="Arial"/>
          <w:color w:val="404040" w:themeColor="text1" w:themeTint="BF"/>
          <w:lang w:val="pt-PT"/>
        </w:rPr>
        <w:t xml:space="preserve">, </w:t>
      </w:r>
      <w:proofErr w:type="spellStart"/>
      <w:r w:rsidRPr="00F137CE">
        <w:rPr>
          <w:rFonts w:ascii="Arial" w:hAnsi="Arial" w:cs="Arial"/>
          <w:color w:val="404040" w:themeColor="text1" w:themeTint="BF"/>
          <w:lang w:val="pt-PT"/>
        </w:rPr>
        <w:t>Morrisons</w:t>
      </w:r>
      <w:proofErr w:type="spellEnd"/>
      <w:r w:rsidRPr="00F137CE">
        <w:rPr>
          <w:rFonts w:ascii="Arial" w:hAnsi="Arial" w:cs="Arial"/>
          <w:color w:val="404040" w:themeColor="text1" w:themeTint="BF"/>
          <w:lang w:val="pt-PT"/>
        </w:rPr>
        <w:t xml:space="preserve">, Lidl &amp; </w:t>
      </w:r>
      <w:proofErr w:type="spellStart"/>
      <w:r w:rsidRPr="00F137CE">
        <w:rPr>
          <w:rFonts w:ascii="Arial" w:hAnsi="Arial" w:cs="Arial"/>
          <w:color w:val="404040" w:themeColor="text1" w:themeTint="BF"/>
          <w:lang w:val="pt-PT"/>
        </w:rPr>
        <w:t>WHSmith</w:t>
      </w:r>
      <w:proofErr w:type="spellEnd"/>
      <w:r w:rsidRPr="00F137CE">
        <w:rPr>
          <w:rFonts w:ascii="Arial" w:hAnsi="Arial" w:cs="Arial"/>
          <w:color w:val="404040" w:themeColor="text1" w:themeTint="BF"/>
          <w:lang w:val="pt-PT"/>
        </w:rPr>
        <w:t>. A empresa acrescentou 2</w:t>
      </w:r>
      <w:r>
        <w:rPr>
          <w:rFonts w:ascii="Arial" w:hAnsi="Arial" w:cs="Arial"/>
          <w:color w:val="404040" w:themeColor="text1" w:themeTint="BF"/>
          <w:lang w:val="pt-PT"/>
        </w:rPr>
        <w:t>.</w:t>
      </w:r>
      <w:r w:rsidRPr="00F137CE">
        <w:rPr>
          <w:rFonts w:ascii="Arial" w:hAnsi="Arial" w:cs="Arial"/>
          <w:color w:val="404040" w:themeColor="text1" w:themeTint="BF"/>
          <w:lang w:val="pt-PT"/>
        </w:rPr>
        <w:t>016 nov</w:t>
      </w:r>
      <w:r>
        <w:rPr>
          <w:rFonts w:ascii="Arial" w:hAnsi="Arial" w:cs="Arial"/>
          <w:color w:val="404040" w:themeColor="text1" w:themeTint="BF"/>
          <w:lang w:val="pt-PT"/>
        </w:rPr>
        <w:t>a</w:t>
      </w:r>
      <w:r w:rsidRPr="00F137CE">
        <w:rPr>
          <w:rFonts w:ascii="Arial" w:hAnsi="Arial" w:cs="Arial"/>
          <w:color w:val="404040" w:themeColor="text1" w:themeTint="BF"/>
          <w:lang w:val="pt-PT"/>
        </w:rPr>
        <w:t xml:space="preserve">s </w:t>
      </w:r>
      <w:proofErr w:type="spellStart"/>
      <w:r w:rsidRPr="00F137CE">
        <w:rPr>
          <w:rFonts w:ascii="Arial" w:hAnsi="Arial" w:cs="Arial"/>
          <w:color w:val="404040" w:themeColor="text1" w:themeTint="BF"/>
          <w:lang w:val="pt-PT"/>
        </w:rPr>
        <w:t>APMs</w:t>
      </w:r>
      <w:proofErr w:type="spellEnd"/>
      <w:r w:rsidRPr="00F137CE">
        <w:rPr>
          <w:rFonts w:ascii="Arial" w:hAnsi="Arial" w:cs="Arial"/>
          <w:color w:val="404040" w:themeColor="text1" w:themeTint="BF"/>
          <w:lang w:val="pt-PT"/>
        </w:rPr>
        <w:t>, elevando o total para 3</w:t>
      </w:r>
      <w:r>
        <w:rPr>
          <w:rFonts w:ascii="Arial" w:hAnsi="Arial" w:cs="Arial"/>
          <w:color w:val="404040" w:themeColor="text1" w:themeTint="BF"/>
          <w:lang w:val="pt-PT"/>
        </w:rPr>
        <w:t>.</w:t>
      </w:r>
      <w:r w:rsidRPr="00F137CE">
        <w:rPr>
          <w:rFonts w:ascii="Arial" w:hAnsi="Arial" w:cs="Arial"/>
          <w:color w:val="404040" w:themeColor="text1" w:themeTint="BF"/>
          <w:lang w:val="pt-PT"/>
        </w:rPr>
        <w:t>150. Para otimizar a proximidade do consumidor, est</w:t>
      </w:r>
      <w:r>
        <w:rPr>
          <w:rFonts w:ascii="Arial" w:hAnsi="Arial" w:cs="Arial"/>
          <w:color w:val="404040" w:themeColor="text1" w:themeTint="BF"/>
          <w:lang w:val="pt-PT"/>
        </w:rPr>
        <w:t>a</w:t>
      </w:r>
      <w:r w:rsidRPr="00F137CE">
        <w:rPr>
          <w:rFonts w:ascii="Arial" w:hAnsi="Arial" w:cs="Arial"/>
          <w:color w:val="404040" w:themeColor="text1" w:themeTint="BF"/>
          <w:lang w:val="pt-PT"/>
        </w:rPr>
        <w:t xml:space="preserve">s </w:t>
      </w:r>
      <w:proofErr w:type="spellStart"/>
      <w:r w:rsidRPr="00F137CE">
        <w:rPr>
          <w:rFonts w:ascii="Arial" w:hAnsi="Arial" w:cs="Arial"/>
          <w:color w:val="404040" w:themeColor="text1" w:themeTint="BF"/>
          <w:lang w:val="pt-PT"/>
        </w:rPr>
        <w:t>APMs</w:t>
      </w:r>
      <w:proofErr w:type="spellEnd"/>
      <w:r w:rsidRPr="00F137CE">
        <w:rPr>
          <w:rFonts w:ascii="Arial" w:hAnsi="Arial" w:cs="Arial"/>
          <w:color w:val="404040" w:themeColor="text1" w:themeTint="BF"/>
          <w:lang w:val="pt-PT"/>
        </w:rPr>
        <w:t xml:space="preserve"> estão concentrados principalmente em Londres, Birmingham e Manchester.</w:t>
      </w:r>
      <w:r>
        <w:rPr>
          <w:rFonts w:ascii="Arial" w:hAnsi="Arial" w:cs="Arial"/>
          <w:color w:val="404040" w:themeColor="text1" w:themeTint="BF"/>
          <w:lang w:val="pt-PT"/>
        </w:rPr>
        <w:t xml:space="preserve"> </w:t>
      </w:r>
      <w:r>
        <w:rPr>
          <w:rFonts w:ascii="Arial" w:hAnsi="Arial" w:cs="Arial"/>
          <w:color w:val="404040" w:themeColor="text1" w:themeTint="BF"/>
          <w:lang w:val="pt-PT"/>
        </w:rPr>
        <w:br/>
      </w:r>
    </w:p>
    <w:p w14:paraId="5CEEB188" w14:textId="77777777" w:rsidR="00F137CE" w:rsidRDefault="00F137CE" w:rsidP="00F137CE">
      <w:pPr>
        <w:spacing w:after="120" w:line="276" w:lineRule="auto"/>
        <w:ind w:right="-425"/>
        <w:rPr>
          <w:rFonts w:ascii="Arial" w:hAnsi="Arial" w:cs="Arial"/>
          <w:color w:val="404040" w:themeColor="text1" w:themeTint="BF"/>
          <w:lang w:val="pt-PT"/>
        </w:rPr>
      </w:pPr>
      <w:r w:rsidRPr="00F137CE">
        <w:rPr>
          <w:rFonts w:ascii="Arial" w:hAnsi="Arial" w:cs="Arial"/>
          <w:color w:val="404040" w:themeColor="text1" w:themeTint="BF"/>
          <w:lang w:val="pt-PT"/>
        </w:rPr>
        <w:t xml:space="preserve">Graças à força </w:t>
      </w:r>
      <w:r>
        <w:rPr>
          <w:rFonts w:ascii="Arial" w:hAnsi="Arial" w:cs="Arial"/>
          <w:color w:val="404040" w:themeColor="text1" w:themeTint="BF"/>
          <w:lang w:val="pt-PT"/>
        </w:rPr>
        <w:t xml:space="preserve">da </w:t>
      </w:r>
      <w:proofErr w:type="spellStart"/>
      <w:r w:rsidRPr="00F137CE">
        <w:rPr>
          <w:rFonts w:ascii="Arial" w:hAnsi="Arial" w:cs="Arial"/>
          <w:color w:val="404040" w:themeColor="text1" w:themeTint="BF"/>
          <w:lang w:val="pt-PT"/>
        </w:rPr>
        <w:t>InPost</w:t>
      </w:r>
      <w:proofErr w:type="spellEnd"/>
      <w:r w:rsidRPr="00F137CE">
        <w:rPr>
          <w:rFonts w:ascii="Arial" w:hAnsi="Arial" w:cs="Arial"/>
          <w:color w:val="404040" w:themeColor="text1" w:themeTint="BF"/>
          <w:lang w:val="pt-PT"/>
        </w:rPr>
        <w:t xml:space="preserve"> UK em termos de </w:t>
      </w:r>
      <w:r>
        <w:rPr>
          <w:rFonts w:ascii="Arial" w:hAnsi="Arial" w:cs="Arial"/>
          <w:color w:val="404040" w:themeColor="text1" w:themeTint="BF"/>
          <w:lang w:val="pt-PT"/>
        </w:rPr>
        <w:t xml:space="preserve">devoluções </w:t>
      </w:r>
      <w:r w:rsidRPr="00F137CE">
        <w:rPr>
          <w:rFonts w:ascii="Arial" w:hAnsi="Arial" w:cs="Arial"/>
          <w:color w:val="404040" w:themeColor="text1" w:themeTint="BF"/>
          <w:lang w:val="pt-PT"/>
        </w:rPr>
        <w:t>e C2C, a densidade crescente significa que as operações estão a aproximar-se de um nível de escala e adoção comercial que deverá levar o envolvimento dos consumidores a estender-se significativamente ao B2C.</w:t>
      </w:r>
    </w:p>
    <w:p w14:paraId="63EA2703" w14:textId="2B72E602" w:rsidR="00880D43" w:rsidRPr="00781F53" w:rsidRDefault="00466624" w:rsidP="0023719D">
      <w:pPr>
        <w:spacing w:after="120" w:line="276" w:lineRule="auto"/>
        <w:ind w:right="-425"/>
        <w:rPr>
          <w:rFonts w:ascii="Arial" w:hAnsi="Arial" w:cs="Arial"/>
          <w:color w:val="404040" w:themeColor="text1" w:themeTint="BF"/>
          <w:lang w:val="pt-PT"/>
        </w:rPr>
      </w:pPr>
      <w:r w:rsidRPr="00466624">
        <w:rPr>
          <w:rFonts w:ascii="Arial" w:hAnsi="Arial" w:cs="Arial"/>
          <w:b/>
          <w:caps/>
          <w:color w:val="404040"/>
          <w:lang w:val="pt-PT"/>
        </w:rPr>
        <w:t xml:space="preserve">SUSTENTABILIDADE </w:t>
      </w:r>
      <w:r>
        <w:rPr>
          <w:rFonts w:ascii="Arial" w:hAnsi="Arial" w:cs="Arial"/>
          <w:b/>
          <w:caps/>
          <w:color w:val="404040"/>
          <w:lang w:val="pt-PT"/>
        </w:rPr>
        <w:t>‘</w:t>
      </w:r>
      <w:r w:rsidRPr="00781F53">
        <w:rPr>
          <w:rFonts w:ascii="Arial" w:hAnsi="Arial" w:cs="Arial"/>
          <w:b/>
          <w:caps/>
          <w:color w:val="404040"/>
          <w:lang w:val="pt-PT"/>
        </w:rPr>
        <w:t>best in class</w:t>
      </w:r>
      <w:r>
        <w:rPr>
          <w:rFonts w:ascii="Arial" w:hAnsi="Arial" w:cs="Arial"/>
          <w:b/>
          <w:caps/>
          <w:color w:val="404040"/>
          <w:lang w:val="pt-PT"/>
        </w:rPr>
        <w:t xml:space="preserve">’ </w:t>
      </w:r>
      <w:r w:rsidRPr="00466624">
        <w:rPr>
          <w:rFonts w:ascii="Arial" w:hAnsi="Arial" w:cs="Arial"/>
          <w:b/>
          <w:caps/>
          <w:color w:val="404040"/>
          <w:lang w:val="pt-PT"/>
        </w:rPr>
        <w:t>PARA INCORPORAR ESG EM TODA A EMPRESA</w:t>
      </w:r>
      <w:r>
        <w:rPr>
          <w:rFonts w:ascii="Arial" w:hAnsi="Arial" w:cs="Arial"/>
          <w:b/>
          <w:caps/>
          <w:color w:val="404040"/>
          <w:lang w:val="pt-PT"/>
        </w:rPr>
        <w:br/>
      </w:r>
      <w:r w:rsidR="0023719D" w:rsidRPr="0023719D">
        <w:rPr>
          <w:rFonts w:ascii="Arial" w:hAnsi="Arial" w:cs="Arial"/>
          <w:color w:val="404040" w:themeColor="text1" w:themeTint="BF"/>
          <w:lang w:val="pt-PT"/>
        </w:rPr>
        <w:t xml:space="preserve">Em 2021, a </w:t>
      </w:r>
      <w:proofErr w:type="spellStart"/>
      <w:r w:rsidR="0023719D" w:rsidRPr="0023719D">
        <w:rPr>
          <w:rFonts w:ascii="Arial" w:hAnsi="Arial" w:cs="Arial"/>
          <w:color w:val="404040" w:themeColor="text1" w:themeTint="BF"/>
          <w:lang w:val="pt-PT"/>
        </w:rPr>
        <w:t>InPost</w:t>
      </w:r>
      <w:proofErr w:type="spellEnd"/>
      <w:r w:rsidR="0023719D" w:rsidRPr="0023719D">
        <w:rPr>
          <w:rFonts w:ascii="Arial" w:hAnsi="Arial" w:cs="Arial"/>
          <w:color w:val="404040" w:themeColor="text1" w:themeTint="BF"/>
          <w:lang w:val="pt-PT"/>
        </w:rPr>
        <w:t xml:space="preserve"> alinhou a estratégia da ESG com os Objetivos de Desenvolvimento Sustentável das Nações Unidas, </w:t>
      </w:r>
      <w:r w:rsidR="0023719D">
        <w:rPr>
          <w:rFonts w:ascii="Arial" w:hAnsi="Arial" w:cs="Arial"/>
          <w:color w:val="404040" w:themeColor="text1" w:themeTint="BF"/>
          <w:lang w:val="pt-PT"/>
        </w:rPr>
        <w:t xml:space="preserve">e </w:t>
      </w:r>
      <w:r w:rsidR="0023719D" w:rsidRPr="0023719D">
        <w:rPr>
          <w:rFonts w:ascii="Arial" w:hAnsi="Arial" w:cs="Arial"/>
          <w:color w:val="404040" w:themeColor="text1" w:themeTint="BF"/>
          <w:lang w:val="pt-PT"/>
        </w:rPr>
        <w:t xml:space="preserve">tornou-se membro do Pacto Global das Nações Unidas. A estratégia ESG está a ser incorporada em todo o Grupo a todos os níveis. É uma componente chave do modelo empresarial </w:t>
      </w:r>
      <w:proofErr w:type="spellStart"/>
      <w:r w:rsidR="0023719D" w:rsidRPr="0023719D">
        <w:rPr>
          <w:rFonts w:ascii="Arial" w:hAnsi="Arial" w:cs="Arial"/>
          <w:color w:val="404040" w:themeColor="text1" w:themeTint="BF"/>
          <w:lang w:val="pt-PT"/>
        </w:rPr>
        <w:t>InPost</w:t>
      </w:r>
      <w:proofErr w:type="spellEnd"/>
      <w:r w:rsidR="0023719D" w:rsidRPr="0023719D">
        <w:rPr>
          <w:rFonts w:ascii="Arial" w:hAnsi="Arial" w:cs="Arial"/>
          <w:color w:val="404040" w:themeColor="text1" w:themeTint="BF"/>
          <w:lang w:val="pt-PT"/>
        </w:rPr>
        <w:t xml:space="preserve"> e incorpora tendências no comércio eletrónico, os riscos e oportunidades identificados pela empresa e áreas onde é necessária uma abordagem mais estruturada </w:t>
      </w:r>
      <w:r w:rsidR="0023719D">
        <w:rPr>
          <w:rFonts w:ascii="Arial" w:hAnsi="Arial" w:cs="Arial"/>
          <w:color w:val="404040" w:themeColor="text1" w:themeTint="BF"/>
          <w:lang w:val="pt-PT"/>
        </w:rPr>
        <w:t xml:space="preserve">dos </w:t>
      </w:r>
      <w:r w:rsidR="00AE4EBE">
        <w:rPr>
          <w:rFonts w:ascii="Arial" w:hAnsi="Arial" w:cs="Arial"/>
          <w:color w:val="404040" w:themeColor="text1" w:themeTint="BF"/>
          <w:lang w:val="pt-PT"/>
        </w:rPr>
        <w:t>acionistas</w:t>
      </w:r>
      <w:r w:rsidR="0023719D" w:rsidRPr="0023719D">
        <w:rPr>
          <w:rFonts w:ascii="Arial" w:hAnsi="Arial" w:cs="Arial"/>
          <w:color w:val="404040" w:themeColor="text1" w:themeTint="BF"/>
          <w:lang w:val="pt-PT"/>
        </w:rPr>
        <w:t>.</w:t>
      </w:r>
      <w:r w:rsidR="0023719D">
        <w:rPr>
          <w:rFonts w:ascii="Arial" w:hAnsi="Arial" w:cs="Arial"/>
          <w:color w:val="404040" w:themeColor="text1" w:themeTint="BF"/>
          <w:lang w:val="pt-PT"/>
        </w:rPr>
        <w:br/>
      </w:r>
      <w:r w:rsidR="0023719D">
        <w:rPr>
          <w:rFonts w:ascii="Arial" w:hAnsi="Arial" w:cs="Arial"/>
          <w:color w:val="404040" w:themeColor="text1" w:themeTint="BF"/>
          <w:lang w:val="pt-PT"/>
        </w:rPr>
        <w:br/>
      </w:r>
      <w:r w:rsidR="00AE4EBE" w:rsidRPr="00AE4EBE">
        <w:rPr>
          <w:rFonts w:ascii="Arial" w:hAnsi="Arial" w:cs="Arial"/>
          <w:color w:val="404040" w:themeColor="text1" w:themeTint="BF"/>
          <w:lang w:val="pt-PT"/>
        </w:rPr>
        <w:t xml:space="preserve">A empresa comprometeu-se à neutralidade climática até 2040, de acordo com o </w:t>
      </w:r>
      <w:proofErr w:type="spellStart"/>
      <w:r w:rsidR="00AE4EBE" w:rsidRPr="00AE4EBE">
        <w:rPr>
          <w:rFonts w:ascii="Arial" w:hAnsi="Arial" w:cs="Arial"/>
          <w:color w:val="404040" w:themeColor="text1" w:themeTint="BF"/>
          <w:lang w:val="pt-PT"/>
        </w:rPr>
        <w:t>SBTi</w:t>
      </w:r>
      <w:proofErr w:type="spellEnd"/>
      <w:r w:rsidR="00AE4EBE" w:rsidRPr="00AE4EBE">
        <w:rPr>
          <w:rFonts w:ascii="Arial" w:hAnsi="Arial" w:cs="Arial"/>
          <w:color w:val="404040" w:themeColor="text1" w:themeTint="BF"/>
          <w:lang w:val="pt-PT"/>
        </w:rPr>
        <w:t xml:space="preserve">, ao mesmo tempo que se comprometeu a ser neutra para o clima </w:t>
      </w:r>
      <w:r w:rsidR="00AE4EBE">
        <w:rPr>
          <w:rFonts w:ascii="Arial" w:hAnsi="Arial" w:cs="Arial"/>
          <w:color w:val="404040" w:themeColor="text1" w:themeTint="BF"/>
          <w:lang w:val="pt-PT"/>
        </w:rPr>
        <w:t>(</w:t>
      </w:r>
      <w:proofErr w:type="spellStart"/>
      <w:r w:rsidR="00AE4EBE" w:rsidRPr="00781F53">
        <w:rPr>
          <w:rFonts w:ascii="Arial" w:hAnsi="Arial" w:cs="Arial"/>
          <w:color w:val="404040" w:themeColor="text1" w:themeTint="BF"/>
          <w:lang w:val="pt-PT"/>
        </w:rPr>
        <w:t>Scope</w:t>
      </w:r>
      <w:proofErr w:type="spellEnd"/>
      <w:r w:rsidR="00AE4EBE" w:rsidRPr="00781F53">
        <w:rPr>
          <w:rFonts w:ascii="Arial" w:hAnsi="Arial" w:cs="Arial"/>
          <w:color w:val="404040" w:themeColor="text1" w:themeTint="BF"/>
          <w:lang w:val="pt-PT"/>
        </w:rPr>
        <w:t xml:space="preserve"> 1 </w:t>
      </w:r>
      <w:r w:rsidR="00AE4EBE">
        <w:rPr>
          <w:rFonts w:ascii="Arial" w:hAnsi="Arial" w:cs="Arial"/>
          <w:color w:val="404040" w:themeColor="text1" w:themeTint="BF"/>
          <w:lang w:val="pt-PT"/>
        </w:rPr>
        <w:t xml:space="preserve">e </w:t>
      </w:r>
      <w:r w:rsidR="00AE4EBE" w:rsidRPr="00781F53">
        <w:rPr>
          <w:rFonts w:ascii="Arial" w:hAnsi="Arial" w:cs="Arial"/>
          <w:color w:val="404040" w:themeColor="text1" w:themeTint="BF"/>
          <w:lang w:val="pt-PT"/>
        </w:rPr>
        <w:t>2</w:t>
      </w:r>
      <w:r w:rsidR="00AE4EBE">
        <w:rPr>
          <w:rFonts w:ascii="Arial" w:hAnsi="Arial" w:cs="Arial"/>
          <w:color w:val="404040" w:themeColor="text1" w:themeTint="BF"/>
          <w:lang w:val="pt-PT"/>
        </w:rPr>
        <w:t xml:space="preserve">) </w:t>
      </w:r>
      <w:r w:rsidR="00AE4EBE" w:rsidRPr="00AE4EBE">
        <w:rPr>
          <w:rFonts w:ascii="Arial" w:hAnsi="Arial" w:cs="Arial"/>
          <w:color w:val="404040" w:themeColor="text1" w:themeTint="BF"/>
          <w:lang w:val="pt-PT"/>
        </w:rPr>
        <w:t xml:space="preserve">até 2025. </w:t>
      </w:r>
    </w:p>
    <w:p w14:paraId="7252D7E5" w14:textId="77777777" w:rsidR="00080174" w:rsidRDefault="00080174" w:rsidP="00F32F1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080174">
        <w:rPr>
          <w:rFonts w:ascii="Arial" w:hAnsi="Arial" w:cs="Arial"/>
          <w:color w:val="404040" w:themeColor="text1" w:themeTint="BF"/>
          <w:lang w:val="pt-PT"/>
        </w:rPr>
        <w:t xml:space="preserve">Dentro de 5 anos, a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pretende concluir totalmente o ciclo das matérias-primas nas suas próprias operações.</w:t>
      </w:r>
    </w:p>
    <w:p w14:paraId="7FE05B46" w14:textId="77777777" w:rsidR="00080174" w:rsidRDefault="00080174" w:rsidP="00EB4475">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080174">
        <w:rPr>
          <w:rFonts w:ascii="Arial" w:hAnsi="Arial" w:cs="Arial"/>
          <w:color w:val="404040" w:themeColor="text1" w:themeTint="BF"/>
          <w:lang w:val="pt-PT"/>
        </w:rPr>
        <w:t xml:space="preserve">A empresa assinou o ‘Global </w:t>
      </w:r>
      <w:proofErr w:type="spellStart"/>
      <w:r w:rsidRPr="00080174">
        <w:rPr>
          <w:rFonts w:ascii="Arial" w:hAnsi="Arial" w:cs="Arial"/>
          <w:color w:val="404040" w:themeColor="text1" w:themeTint="BF"/>
          <w:lang w:val="pt-PT"/>
        </w:rPr>
        <w:t>Compact</w:t>
      </w:r>
      <w:proofErr w:type="spellEnd"/>
      <w:r w:rsidRPr="00080174">
        <w:rPr>
          <w:rFonts w:ascii="Arial" w:hAnsi="Arial" w:cs="Arial"/>
          <w:color w:val="404040" w:themeColor="text1" w:themeTint="BF"/>
          <w:lang w:val="pt-PT"/>
        </w:rPr>
        <w:t>’ das Nações Unidas para a Polónia. Após a conclusão da integração da Mondial Relay, esta estender-se-á a todos os mercados internacionais.</w:t>
      </w:r>
    </w:p>
    <w:p w14:paraId="053CE368" w14:textId="28DE68B9" w:rsidR="00880D43" w:rsidRPr="00080174" w:rsidRDefault="00080174" w:rsidP="00EB4475">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A</w:t>
      </w:r>
      <w:r w:rsidRPr="00080174">
        <w:rPr>
          <w:rFonts w:ascii="Arial" w:hAnsi="Arial" w:cs="Arial"/>
          <w:color w:val="404040" w:themeColor="text1" w:themeTint="BF"/>
          <w:lang w:val="pt-PT"/>
        </w:rPr>
        <w:t xml:space="preserve">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está a partilhar mais amplamente a sua missão através do programa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Green </w:t>
      </w:r>
      <w:proofErr w:type="spellStart"/>
      <w:r w:rsidRPr="00080174">
        <w:rPr>
          <w:rFonts w:ascii="Arial" w:hAnsi="Arial" w:cs="Arial"/>
          <w:color w:val="404040" w:themeColor="text1" w:themeTint="BF"/>
          <w:lang w:val="pt-PT"/>
        </w:rPr>
        <w:t>City</w:t>
      </w:r>
      <w:proofErr w:type="spellEnd"/>
      <w:r w:rsidRPr="00080174">
        <w:rPr>
          <w:rFonts w:ascii="Arial" w:hAnsi="Arial" w:cs="Arial"/>
          <w:color w:val="404040" w:themeColor="text1" w:themeTint="BF"/>
          <w:lang w:val="pt-PT"/>
        </w:rPr>
        <w:t xml:space="preserve">, que foi lançado em 2020 em 21 cidades da Polónia. </w:t>
      </w:r>
      <w:r>
        <w:rPr>
          <w:rFonts w:ascii="Arial" w:hAnsi="Arial" w:cs="Arial"/>
          <w:color w:val="404040" w:themeColor="text1" w:themeTint="BF"/>
          <w:lang w:val="pt-PT"/>
        </w:rPr>
        <w:t>A</w:t>
      </w:r>
      <w:r w:rsidRPr="00080174">
        <w:rPr>
          <w:rFonts w:ascii="Arial" w:hAnsi="Arial" w:cs="Arial"/>
          <w:color w:val="404040" w:themeColor="text1" w:themeTint="BF"/>
          <w:lang w:val="pt-PT"/>
        </w:rPr>
        <w:t xml:space="preserve">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está a liderar iniciativas para minimizar o seu impacto sobre o ambiente, por exemplo, através da transição para uma frota de veículos elétricos e da instalação de carregadores elétricos.</w:t>
      </w:r>
    </w:p>
    <w:p w14:paraId="0BECBBFD" w14:textId="584AF152" w:rsidR="00880D43" w:rsidRPr="00781F53" w:rsidRDefault="00080174"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080174">
        <w:rPr>
          <w:rFonts w:ascii="Arial" w:hAnsi="Arial" w:cs="Arial"/>
          <w:color w:val="404040" w:themeColor="text1" w:themeTint="BF"/>
          <w:lang w:val="pt-PT"/>
        </w:rPr>
        <w:t xml:space="preserve">A empresa também alcançou a sua primeira classificação ESG das agências de </w:t>
      </w:r>
      <w:proofErr w:type="gramStart"/>
      <w:r>
        <w:rPr>
          <w:rFonts w:ascii="Arial" w:hAnsi="Arial" w:cs="Arial"/>
          <w:color w:val="404040" w:themeColor="text1" w:themeTint="BF"/>
          <w:lang w:val="pt-PT"/>
        </w:rPr>
        <w:t>rating</w:t>
      </w:r>
      <w:proofErr w:type="gramEnd"/>
      <w:r w:rsidRPr="00080174">
        <w:rPr>
          <w:rFonts w:ascii="Arial" w:hAnsi="Arial" w:cs="Arial"/>
          <w:color w:val="404040" w:themeColor="text1" w:themeTint="BF"/>
          <w:lang w:val="pt-PT"/>
        </w:rPr>
        <w:t xml:space="preserve">, colocando-a no 2º quartil entre os </w:t>
      </w:r>
      <w:r>
        <w:rPr>
          <w:rFonts w:ascii="Arial" w:hAnsi="Arial" w:cs="Arial"/>
          <w:color w:val="404040" w:themeColor="text1" w:themeTint="BF"/>
          <w:lang w:val="pt-PT"/>
        </w:rPr>
        <w:t xml:space="preserve">seus </w:t>
      </w:r>
      <w:r w:rsidRPr="00080174">
        <w:rPr>
          <w:rFonts w:ascii="Arial" w:hAnsi="Arial" w:cs="Arial"/>
          <w:color w:val="404040" w:themeColor="text1" w:themeTint="BF"/>
          <w:lang w:val="pt-PT"/>
        </w:rPr>
        <w:t>pares (com base na divulgação da classificação ISS).</w:t>
      </w:r>
    </w:p>
    <w:p w14:paraId="13F49D06" w14:textId="395E209A" w:rsidR="00880D43" w:rsidRPr="00080174" w:rsidRDefault="00080174" w:rsidP="00080174">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Pr>
          <w:rFonts w:ascii="Arial" w:hAnsi="Arial" w:cs="Arial"/>
          <w:color w:val="404040" w:themeColor="text1" w:themeTint="BF"/>
          <w:lang w:val="pt-PT"/>
        </w:rPr>
        <w:t xml:space="preserve">A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w:t>
      </w:r>
      <w:r>
        <w:rPr>
          <w:rFonts w:ascii="Arial" w:hAnsi="Arial" w:cs="Arial"/>
          <w:color w:val="404040" w:themeColor="text1" w:themeTint="BF"/>
          <w:lang w:val="pt-PT"/>
        </w:rPr>
        <w:t xml:space="preserve">tem consciência de que o </w:t>
      </w:r>
      <w:r w:rsidRPr="00080174">
        <w:rPr>
          <w:rFonts w:ascii="Arial" w:hAnsi="Arial" w:cs="Arial"/>
          <w:color w:val="404040" w:themeColor="text1" w:themeTint="BF"/>
          <w:lang w:val="pt-PT"/>
        </w:rPr>
        <w:t xml:space="preserve">seu papel de liderança traz consigo uma grande responsabilidade social, especialmente neste difícil período geopolítico. </w:t>
      </w:r>
      <w:r>
        <w:rPr>
          <w:rFonts w:ascii="Arial" w:hAnsi="Arial" w:cs="Arial"/>
          <w:color w:val="404040" w:themeColor="text1" w:themeTint="BF"/>
          <w:lang w:val="pt-PT"/>
        </w:rPr>
        <w:t>A</w:t>
      </w:r>
      <w:r w:rsidRPr="00080174">
        <w:rPr>
          <w:rFonts w:ascii="Arial" w:hAnsi="Arial" w:cs="Arial"/>
          <w:color w:val="404040" w:themeColor="text1" w:themeTint="BF"/>
          <w:lang w:val="pt-PT"/>
        </w:rPr>
        <w:t xml:space="preserve"> </w:t>
      </w:r>
      <w:proofErr w:type="spellStart"/>
      <w:r w:rsidRPr="00080174">
        <w:rPr>
          <w:rFonts w:ascii="Arial" w:hAnsi="Arial" w:cs="Arial"/>
          <w:color w:val="404040" w:themeColor="text1" w:themeTint="BF"/>
          <w:lang w:val="pt-PT"/>
        </w:rPr>
        <w:t>InPost</w:t>
      </w:r>
      <w:proofErr w:type="spellEnd"/>
      <w:r w:rsidRPr="00080174">
        <w:rPr>
          <w:rFonts w:ascii="Arial" w:hAnsi="Arial" w:cs="Arial"/>
          <w:color w:val="404040" w:themeColor="text1" w:themeTint="BF"/>
          <w:lang w:val="pt-PT"/>
        </w:rPr>
        <w:t xml:space="preserve"> tem vindo a organizar transporte gratuito para fornecer recursos na fronteira para ajudar os cidadãos ucranianos que estão a fugir da guerra. Também se associ</w:t>
      </w:r>
      <w:r>
        <w:rPr>
          <w:rFonts w:ascii="Arial" w:hAnsi="Arial" w:cs="Arial"/>
          <w:color w:val="404040" w:themeColor="text1" w:themeTint="BF"/>
          <w:lang w:val="pt-PT"/>
        </w:rPr>
        <w:t>ou</w:t>
      </w:r>
      <w:r w:rsidRPr="00080174">
        <w:rPr>
          <w:rFonts w:ascii="Arial" w:hAnsi="Arial" w:cs="Arial"/>
          <w:color w:val="404040" w:themeColor="text1" w:themeTint="BF"/>
          <w:lang w:val="pt-PT"/>
        </w:rPr>
        <w:t xml:space="preserve"> a empresas para organizar abrigos e cuidados infantis para os refugiados ucranianos que fogem para a Polónia. A empresa lançou recentemente uma versão ucraniana d</w:t>
      </w:r>
      <w:r>
        <w:rPr>
          <w:rFonts w:ascii="Arial" w:hAnsi="Arial" w:cs="Arial"/>
          <w:color w:val="404040" w:themeColor="text1" w:themeTint="BF"/>
          <w:lang w:val="pt-PT"/>
        </w:rPr>
        <w:t xml:space="preserve">a sua app </w:t>
      </w:r>
      <w:r w:rsidRPr="00080174">
        <w:rPr>
          <w:rFonts w:ascii="Arial" w:hAnsi="Arial" w:cs="Arial"/>
          <w:color w:val="404040" w:themeColor="text1" w:themeTint="BF"/>
          <w:lang w:val="pt-PT"/>
        </w:rPr>
        <w:t>para ajudar a facilitar a transição para os milhões de refugiados ucranianos que agora residem na Polónia.</w:t>
      </w:r>
      <w:r>
        <w:rPr>
          <w:rFonts w:ascii="Arial" w:hAnsi="Arial" w:cs="Arial"/>
          <w:color w:val="404040" w:themeColor="text1" w:themeTint="BF"/>
          <w:lang w:val="pt-PT"/>
        </w:rPr>
        <w:br/>
      </w:r>
      <w:r w:rsidR="04A04065" w:rsidRPr="00080174">
        <w:rPr>
          <w:rFonts w:ascii="Arial" w:hAnsi="Arial" w:cs="Arial"/>
          <w:color w:val="404040" w:themeColor="text1" w:themeTint="BF"/>
          <w:lang w:val="pt-PT"/>
        </w:rPr>
        <w:t xml:space="preserve"> </w:t>
      </w:r>
    </w:p>
    <w:p w14:paraId="5A68B155" w14:textId="4CF0F07B" w:rsidR="00880D43" w:rsidRPr="00781F53" w:rsidRDefault="005C11AC" w:rsidP="005C11AC">
      <w:pPr>
        <w:spacing w:after="60" w:line="276" w:lineRule="auto"/>
        <w:ind w:right="-425"/>
        <w:rPr>
          <w:rFonts w:ascii="Arial" w:hAnsi="Arial" w:cs="Arial"/>
          <w:color w:val="404040" w:themeColor="text1" w:themeTint="BF"/>
          <w:lang w:val="pt-PT"/>
        </w:rPr>
      </w:pPr>
      <w:r w:rsidRPr="005C11AC">
        <w:rPr>
          <w:rFonts w:ascii="Arial" w:hAnsi="Arial" w:cs="Arial"/>
          <w:b/>
          <w:caps/>
          <w:color w:val="404040"/>
          <w:lang w:val="pt-PT"/>
        </w:rPr>
        <w:t>DESTAQUES FINANCEIROS E OPERACIONAIS CONSOLIDADOS 2021 E 4</w:t>
      </w:r>
      <w:r>
        <w:rPr>
          <w:rFonts w:ascii="Arial" w:hAnsi="Arial" w:cs="Arial"/>
          <w:b/>
          <w:caps/>
          <w:color w:val="404040"/>
          <w:lang w:val="pt-PT"/>
        </w:rPr>
        <w:t>T</w:t>
      </w:r>
      <w:r>
        <w:rPr>
          <w:rFonts w:ascii="Arial" w:hAnsi="Arial" w:cs="Arial"/>
          <w:b/>
          <w:caps/>
          <w:color w:val="404040"/>
          <w:lang w:val="pt-PT"/>
        </w:rPr>
        <w:br/>
      </w:r>
      <w:r>
        <w:rPr>
          <w:rFonts w:ascii="Arial" w:hAnsi="Arial" w:cs="Arial"/>
          <w:color w:val="404040" w:themeColor="text1" w:themeTint="BF"/>
          <w:lang w:val="pt-PT"/>
        </w:rPr>
        <w:br/>
      </w:r>
      <w:r w:rsidRPr="005C11AC">
        <w:rPr>
          <w:rFonts w:ascii="Arial" w:hAnsi="Arial" w:cs="Arial"/>
          <w:color w:val="404040" w:themeColor="text1" w:themeTint="BF"/>
          <w:lang w:val="pt-PT"/>
        </w:rPr>
        <w:t xml:space="preserve">As receitas do Grupo </w:t>
      </w:r>
      <w:r>
        <w:rPr>
          <w:rFonts w:ascii="Arial" w:hAnsi="Arial" w:cs="Arial"/>
          <w:color w:val="404040" w:themeColor="text1" w:themeTint="BF"/>
          <w:lang w:val="pt-PT"/>
        </w:rPr>
        <w:t xml:space="preserve">no ano fiscal de </w:t>
      </w:r>
      <w:r w:rsidRPr="005C11AC">
        <w:rPr>
          <w:rFonts w:ascii="Arial" w:hAnsi="Arial" w:cs="Arial"/>
          <w:color w:val="404040" w:themeColor="text1" w:themeTint="BF"/>
          <w:lang w:val="pt-PT"/>
        </w:rPr>
        <w:t xml:space="preserve">2021 aumentaram 82,0% para </w:t>
      </w:r>
      <w:proofErr w:type="gramStart"/>
      <w:r w:rsidRPr="005C11AC">
        <w:rPr>
          <w:rFonts w:ascii="Arial" w:hAnsi="Arial" w:cs="Arial"/>
          <w:color w:val="404040" w:themeColor="text1" w:themeTint="BF"/>
          <w:lang w:val="pt-PT"/>
        </w:rPr>
        <w:t>4</w:t>
      </w:r>
      <w:r>
        <w:rPr>
          <w:rFonts w:ascii="Arial" w:hAnsi="Arial" w:cs="Arial"/>
          <w:color w:val="404040" w:themeColor="text1" w:themeTint="BF"/>
          <w:lang w:val="pt-PT"/>
        </w:rPr>
        <w:t>.</w:t>
      </w:r>
      <w:r w:rsidRPr="005C11AC">
        <w:rPr>
          <w:rFonts w:ascii="Arial" w:hAnsi="Arial" w:cs="Arial"/>
          <w:color w:val="404040" w:themeColor="text1" w:themeTint="BF"/>
          <w:lang w:val="pt-PT"/>
        </w:rPr>
        <w:t>602 milhões de</w:t>
      </w:r>
      <w:proofErr w:type="gramEnd"/>
      <w:r w:rsidRPr="005C11AC">
        <w:rPr>
          <w:rFonts w:ascii="Arial" w:hAnsi="Arial" w:cs="Arial"/>
          <w:color w:val="404040" w:themeColor="text1" w:themeTint="BF"/>
          <w:lang w:val="pt-PT"/>
        </w:rPr>
        <w:t xml:space="preserve"> </w:t>
      </w:r>
      <w:proofErr w:type="gramStart"/>
      <w:r>
        <w:rPr>
          <w:rFonts w:ascii="Arial" w:hAnsi="Arial" w:cs="Arial"/>
          <w:color w:val="404040" w:themeColor="text1" w:themeTint="BF"/>
          <w:lang w:val="pt-PT"/>
        </w:rPr>
        <w:t>zloty</w:t>
      </w:r>
      <w:proofErr w:type="gramEnd"/>
      <w:r w:rsidRPr="005C11AC">
        <w:rPr>
          <w:rFonts w:ascii="Arial" w:hAnsi="Arial" w:cs="Arial"/>
          <w:color w:val="404040" w:themeColor="text1" w:themeTint="BF"/>
          <w:lang w:val="pt-PT"/>
        </w:rPr>
        <w:t>. Desse crescimento, 43 pontos percentuais foram provenientes da aquisição da Mondial Relay. A taxa de crescimento das receitas excluindo a Mondial Relay atingiu 39% em 2021.</w:t>
      </w:r>
    </w:p>
    <w:p w14:paraId="7D67DE8B" w14:textId="72D85B09" w:rsidR="00880D43" w:rsidRPr="00781F53" w:rsidRDefault="005C11AC"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C11AC">
        <w:rPr>
          <w:rFonts w:ascii="Arial" w:hAnsi="Arial" w:cs="Arial"/>
          <w:color w:val="404040" w:themeColor="text1" w:themeTint="BF"/>
          <w:lang w:val="pt-PT"/>
        </w:rPr>
        <w:t xml:space="preserve">As receitas do Grupo </w:t>
      </w:r>
      <w:proofErr w:type="spellStart"/>
      <w:r w:rsidRPr="005C11AC">
        <w:rPr>
          <w:rFonts w:ascii="Arial" w:hAnsi="Arial" w:cs="Arial"/>
          <w:color w:val="404040" w:themeColor="text1" w:themeTint="BF"/>
          <w:lang w:val="pt-PT"/>
        </w:rPr>
        <w:t>InPost</w:t>
      </w:r>
      <w:proofErr w:type="spellEnd"/>
      <w:r w:rsidRPr="005C11AC">
        <w:rPr>
          <w:rFonts w:ascii="Arial" w:hAnsi="Arial" w:cs="Arial"/>
          <w:color w:val="404040" w:themeColor="text1" w:themeTint="BF"/>
          <w:lang w:val="pt-PT"/>
        </w:rPr>
        <w:t xml:space="preserve"> aumentaram 96,9% no quarto trimestre. Destes</w:t>
      </w:r>
      <w:r>
        <w:rPr>
          <w:rFonts w:ascii="Arial" w:hAnsi="Arial" w:cs="Arial"/>
          <w:color w:val="404040" w:themeColor="text1" w:themeTint="BF"/>
          <w:lang w:val="pt-PT"/>
        </w:rPr>
        <w:t>,</w:t>
      </w:r>
      <w:r w:rsidRPr="005C11AC">
        <w:rPr>
          <w:rFonts w:ascii="Arial" w:hAnsi="Arial" w:cs="Arial"/>
          <w:color w:val="404040" w:themeColor="text1" w:themeTint="BF"/>
          <w:lang w:val="pt-PT"/>
        </w:rPr>
        <w:t xml:space="preserve"> 73 pontos percentuais vieram da aquisição da Mondial Relay, enquanto a taxa de crescimento das receitas da </w:t>
      </w:r>
      <w:proofErr w:type="spellStart"/>
      <w:r w:rsidRPr="005C11AC">
        <w:rPr>
          <w:rFonts w:ascii="Arial" w:hAnsi="Arial" w:cs="Arial"/>
          <w:color w:val="404040" w:themeColor="text1" w:themeTint="BF"/>
          <w:lang w:val="pt-PT"/>
        </w:rPr>
        <w:t>InPost</w:t>
      </w:r>
      <w:proofErr w:type="spellEnd"/>
      <w:r w:rsidRPr="005C11AC">
        <w:rPr>
          <w:rFonts w:ascii="Arial" w:hAnsi="Arial" w:cs="Arial"/>
          <w:color w:val="404040" w:themeColor="text1" w:themeTint="BF"/>
          <w:lang w:val="pt-PT"/>
        </w:rPr>
        <w:t>, excluindo a Mondial Relay, foi de 23,9% no quarto trimestre.</w:t>
      </w:r>
      <w:r w:rsidR="00880D43" w:rsidRPr="00781F53">
        <w:rPr>
          <w:rFonts w:ascii="Arial" w:hAnsi="Arial" w:cs="Arial"/>
          <w:color w:val="404040" w:themeColor="text1" w:themeTint="BF"/>
          <w:lang w:val="pt-PT"/>
        </w:rPr>
        <w:t> </w:t>
      </w:r>
    </w:p>
    <w:p w14:paraId="00EEDB32" w14:textId="77777777" w:rsidR="005C11AC" w:rsidRDefault="005C11AC" w:rsidP="002035BF">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C11AC">
        <w:rPr>
          <w:rFonts w:ascii="Arial" w:hAnsi="Arial" w:cs="Arial"/>
          <w:color w:val="404040" w:themeColor="text1" w:themeTint="BF"/>
          <w:lang w:val="pt-PT"/>
        </w:rPr>
        <w:t xml:space="preserve">O EBITDA Ajustado do Grupo aumentou 63,7% em 2021 para </w:t>
      </w:r>
      <w:proofErr w:type="gramStart"/>
      <w:r w:rsidRPr="005C11AC">
        <w:rPr>
          <w:rFonts w:ascii="Arial" w:hAnsi="Arial" w:cs="Arial"/>
          <w:color w:val="404040" w:themeColor="text1" w:themeTint="BF"/>
          <w:lang w:val="pt-PT"/>
        </w:rPr>
        <w:t>1.626 milhões de</w:t>
      </w:r>
      <w:proofErr w:type="gramEnd"/>
      <w:r w:rsidRPr="005C11AC">
        <w:rPr>
          <w:rFonts w:ascii="Arial" w:hAnsi="Arial" w:cs="Arial"/>
          <w:color w:val="404040" w:themeColor="text1" w:themeTint="BF"/>
          <w:lang w:val="pt-PT"/>
        </w:rPr>
        <w:t xml:space="preserve"> </w:t>
      </w:r>
      <w:proofErr w:type="gramStart"/>
      <w:r w:rsidRPr="005C11AC">
        <w:rPr>
          <w:rFonts w:ascii="Arial" w:hAnsi="Arial" w:cs="Arial"/>
          <w:color w:val="404040" w:themeColor="text1" w:themeTint="BF"/>
          <w:lang w:val="pt-PT"/>
        </w:rPr>
        <w:t>zloty</w:t>
      </w:r>
      <w:proofErr w:type="gramEnd"/>
      <w:r w:rsidRPr="005C11AC">
        <w:rPr>
          <w:rFonts w:ascii="Arial" w:hAnsi="Arial" w:cs="Arial"/>
          <w:color w:val="404040" w:themeColor="text1" w:themeTint="BF"/>
          <w:lang w:val="pt-PT"/>
        </w:rPr>
        <w:t xml:space="preserve">. A aquisição da Mondial Relay representou 15,6 pontos percentuais deste crescimento enquanto o restante da </w:t>
      </w:r>
      <w:proofErr w:type="spellStart"/>
      <w:r w:rsidRPr="005C11AC">
        <w:rPr>
          <w:rFonts w:ascii="Arial" w:hAnsi="Arial" w:cs="Arial"/>
          <w:color w:val="404040" w:themeColor="text1" w:themeTint="BF"/>
          <w:lang w:val="pt-PT"/>
        </w:rPr>
        <w:t>InPost</w:t>
      </w:r>
      <w:proofErr w:type="spellEnd"/>
      <w:r w:rsidRPr="005C11AC">
        <w:rPr>
          <w:rFonts w:ascii="Arial" w:hAnsi="Arial" w:cs="Arial"/>
          <w:color w:val="404040" w:themeColor="text1" w:themeTint="BF"/>
          <w:lang w:val="pt-PT"/>
        </w:rPr>
        <w:t xml:space="preserve"> cresceu o EBITDA Ajustado 48,1% em 2021. No quarto trimestre, o crescimento do EBITDA Ajustado consolidado foi de 46,7% com 29 pontos percentuais impulsionado pela consolidação da Mondial Relay, e 17,7% de crescimento do EBITDA nos mercados </w:t>
      </w:r>
      <w:proofErr w:type="spellStart"/>
      <w:r w:rsidRPr="005C11AC">
        <w:rPr>
          <w:rFonts w:ascii="Arial" w:hAnsi="Arial" w:cs="Arial"/>
          <w:color w:val="404040" w:themeColor="text1" w:themeTint="BF"/>
          <w:lang w:val="pt-PT"/>
        </w:rPr>
        <w:t>InPost</w:t>
      </w:r>
      <w:proofErr w:type="spellEnd"/>
      <w:r w:rsidRPr="005C11AC">
        <w:rPr>
          <w:rFonts w:ascii="Arial" w:hAnsi="Arial" w:cs="Arial"/>
          <w:color w:val="404040" w:themeColor="text1" w:themeTint="BF"/>
          <w:lang w:val="pt-PT"/>
        </w:rPr>
        <w:t xml:space="preserve"> ‘</w:t>
      </w:r>
      <w:proofErr w:type="spellStart"/>
      <w:r w:rsidRPr="005C11AC">
        <w:rPr>
          <w:rFonts w:ascii="Arial" w:hAnsi="Arial" w:cs="Arial"/>
          <w:color w:val="404040" w:themeColor="text1" w:themeTint="BF"/>
          <w:lang w:val="pt-PT"/>
        </w:rPr>
        <w:t>legacy</w:t>
      </w:r>
      <w:proofErr w:type="spellEnd"/>
      <w:r w:rsidRPr="005C11AC">
        <w:rPr>
          <w:rFonts w:ascii="Arial" w:hAnsi="Arial" w:cs="Arial"/>
          <w:color w:val="404040" w:themeColor="text1" w:themeTint="BF"/>
          <w:lang w:val="pt-PT"/>
        </w:rPr>
        <w:t>’.</w:t>
      </w:r>
    </w:p>
    <w:p w14:paraId="47560A73" w14:textId="77777777" w:rsidR="005C11AC" w:rsidRDefault="005C11AC" w:rsidP="00E308A6">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C11AC">
        <w:rPr>
          <w:rFonts w:ascii="Arial" w:hAnsi="Arial" w:cs="Arial"/>
          <w:color w:val="404040" w:themeColor="text1" w:themeTint="BF"/>
          <w:lang w:val="pt-PT"/>
        </w:rPr>
        <w:t xml:space="preserve">Com a aquisição da Mondial Relay, que tem margens inferiores, a margem EBITDA ajustada do grupo caiu de 39,3% para 35,3% para o ano completo de 2021. No 4º trimestre de 2020, a margem EBITA Ajustado foi de 41,9% sem a Mondial Relay, e esta caiu para 31,2% no 4º trimestre de 2021 com a consolidação da Mondial Relay. Excluindo a Mondial Relay, a margem EBITDA ajustada para </w:t>
      </w:r>
      <w:proofErr w:type="spellStart"/>
      <w:r w:rsidRPr="005C11AC">
        <w:rPr>
          <w:rFonts w:ascii="Arial" w:hAnsi="Arial" w:cs="Arial"/>
          <w:color w:val="404040" w:themeColor="text1" w:themeTint="BF"/>
          <w:lang w:val="pt-PT"/>
        </w:rPr>
        <w:t>InPost</w:t>
      </w:r>
      <w:proofErr w:type="spellEnd"/>
      <w:r w:rsidRPr="005C11AC">
        <w:rPr>
          <w:rFonts w:ascii="Arial" w:hAnsi="Arial" w:cs="Arial"/>
          <w:color w:val="404040" w:themeColor="text1" w:themeTint="BF"/>
          <w:lang w:val="pt-PT"/>
        </w:rPr>
        <w:t xml:space="preserve"> teria aumentado de 39,3% para 41,8% para o ano completo de 2021. No quarto trimestre de 2021, a margem EBITDA ajustada sem a Mondial Relay teria sido de 39,8% vs 41,9% no quarto trimestre de 2020. Este declínio deveu-se a volumes máximos mais fracos que reduziram o impacto positivo da alavancagem operacional.</w:t>
      </w:r>
    </w:p>
    <w:p w14:paraId="5579EFAF" w14:textId="77777777" w:rsidR="00F10BED" w:rsidRDefault="00F10BED" w:rsidP="00A3385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10BED">
        <w:rPr>
          <w:rFonts w:ascii="Arial" w:hAnsi="Arial" w:cs="Arial"/>
          <w:color w:val="404040" w:themeColor="text1" w:themeTint="BF"/>
          <w:lang w:val="pt-PT"/>
        </w:rPr>
        <w:t xml:space="preserve">Com a implementação acelerada na Polónia e a expansão internacional, as Despesas de Capital aumentaram de </w:t>
      </w:r>
      <w:proofErr w:type="gramStart"/>
      <w:r w:rsidRPr="00F10BED">
        <w:rPr>
          <w:rFonts w:ascii="Arial" w:hAnsi="Arial" w:cs="Arial"/>
          <w:color w:val="404040" w:themeColor="text1" w:themeTint="BF"/>
          <w:lang w:val="pt-PT"/>
        </w:rPr>
        <w:t>536 milhões de</w:t>
      </w:r>
      <w:proofErr w:type="gramEnd"/>
      <w:r w:rsidRPr="00F10BED">
        <w:rPr>
          <w:rFonts w:ascii="Arial" w:hAnsi="Arial" w:cs="Arial"/>
          <w:color w:val="404040" w:themeColor="text1" w:themeTint="BF"/>
          <w:lang w:val="pt-PT"/>
        </w:rPr>
        <w:t xml:space="preserve"> </w:t>
      </w:r>
      <w:proofErr w:type="gramStart"/>
      <w:r w:rsidRPr="00F10BED">
        <w:rPr>
          <w:rFonts w:ascii="Arial" w:hAnsi="Arial" w:cs="Arial"/>
          <w:color w:val="404040" w:themeColor="text1" w:themeTint="BF"/>
          <w:lang w:val="pt-PT"/>
        </w:rPr>
        <w:t>zloty</w:t>
      </w:r>
      <w:proofErr w:type="gramEnd"/>
      <w:r w:rsidRPr="00F10BED">
        <w:rPr>
          <w:rFonts w:ascii="Arial" w:hAnsi="Arial" w:cs="Arial"/>
          <w:color w:val="404040" w:themeColor="text1" w:themeTint="BF"/>
          <w:lang w:val="pt-PT"/>
        </w:rPr>
        <w:t xml:space="preserve"> para 936 milhões de zloty. Numa base reportada, as despesas de capital caíram de 21% das receitas em 2020 para 20% das receitas em 2021.</w:t>
      </w:r>
    </w:p>
    <w:p w14:paraId="06B09D5A" w14:textId="3EC6BC0C" w:rsidR="00880D43" w:rsidRPr="00F10BED" w:rsidRDefault="00F10BED" w:rsidP="00A3385D">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F10BED">
        <w:rPr>
          <w:rFonts w:ascii="Arial" w:hAnsi="Arial" w:cs="Arial"/>
          <w:color w:val="404040" w:themeColor="text1" w:themeTint="BF"/>
          <w:lang w:val="pt-PT"/>
        </w:rPr>
        <w:t xml:space="preserve">Com apenas uma contribuição </w:t>
      </w:r>
      <w:r>
        <w:rPr>
          <w:rFonts w:ascii="Arial" w:hAnsi="Arial" w:cs="Arial"/>
          <w:color w:val="404040" w:themeColor="text1" w:themeTint="BF"/>
          <w:lang w:val="pt-PT"/>
        </w:rPr>
        <w:t xml:space="preserve">de um semestre </w:t>
      </w:r>
      <w:r w:rsidRPr="00F10BED">
        <w:rPr>
          <w:rFonts w:ascii="Arial" w:hAnsi="Arial" w:cs="Arial"/>
          <w:color w:val="404040" w:themeColor="text1" w:themeTint="BF"/>
          <w:lang w:val="pt-PT"/>
        </w:rPr>
        <w:t xml:space="preserve">da Mondial Relay no EBITDA Ajustado, a dívida líquida no final do ano para o EBITDA Ajustado é reportada em 3,3x. Incorporando o EBITDA Ajustado do ano 2021 para </w:t>
      </w:r>
      <w:r>
        <w:rPr>
          <w:rFonts w:ascii="Arial" w:hAnsi="Arial" w:cs="Arial"/>
          <w:color w:val="404040" w:themeColor="text1" w:themeTint="BF"/>
          <w:lang w:val="pt-PT"/>
        </w:rPr>
        <w:t>a</w:t>
      </w:r>
      <w:r w:rsidRPr="00F10BED">
        <w:rPr>
          <w:rFonts w:ascii="Arial" w:hAnsi="Arial" w:cs="Arial"/>
          <w:color w:val="404040" w:themeColor="text1" w:themeTint="BF"/>
          <w:lang w:val="pt-PT"/>
        </w:rPr>
        <w:t xml:space="preserve"> Mondial Relay, este valor cairia para 2,9x. Esta dívida é de longa duração, enquanto </w:t>
      </w:r>
      <w:r>
        <w:rPr>
          <w:rFonts w:ascii="Arial" w:hAnsi="Arial" w:cs="Arial"/>
          <w:color w:val="404040" w:themeColor="text1" w:themeTint="BF"/>
          <w:lang w:val="pt-PT"/>
        </w:rPr>
        <w:t>a</w:t>
      </w:r>
      <w:r w:rsidRPr="00F10BED">
        <w:rPr>
          <w:rFonts w:ascii="Arial" w:hAnsi="Arial" w:cs="Arial"/>
          <w:color w:val="404040" w:themeColor="text1" w:themeTint="BF"/>
          <w:lang w:val="pt-PT"/>
        </w:rPr>
        <w:t xml:space="preserve"> </w:t>
      </w:r>
      <w:proofErr w:type="spellStart"/>
      <w:r w:rsidRPr="00F10BED">
        <w:rPr>
          <w:rFonts w:ascii="Arial" w:hAnsi="Arial" w:cs="Arial"/>
          <w:color w:val="404040" w:themeColor="text1" w:themeTint="BF"/>
          <w:lang w:val="pt-PT"/>
        </w:rPr>
        <w:t>InPost</w:t>
      </w:r>
      <w:proofErr w:type="spellEnd"/>
      <w:r w:rsidRPr="00F10BED">
        <w:rPr>
          <w:rFonts w:ascii="Arial" w:hAnsi="Arial" w:cs="Arial"/>
          <w:color w:val="404040" w:themeColor="text1" w:themeTint="BF"/>
          <w:lang w:val="pt-PT"/>
        </w:rPr>
        <w:t xml:space="preserve"> mantém uma margem de manobra considerável no balanço para crescer organicamente de forma prudente, ao mesmo tempo que gere este tempo de incerteza macro e de taxa</w:t>
      </w:r>
      <w:r>
        <w:rPr>
          <w:rFonts w:ascii="Arial" w:hAnsi="Arial" w:cs="Arial"/>
          <w:color w:val="404040" w:themeColor="text1" w:themeTint="BF"/>
          <w:lang w:val="pt-PT"/>
        </w:rPr>
        <w:t>s</w:t>
      </w:r>
      <w:r w:rsidRPr="00F10BED">
        <w:rPr>
          <w:rFonts w:ascii="Arial" w:hAnsi="Arial" w:cs="Arial"/>
          <w:color w:val="404040" w:themeColor="text1" w:themeTint="BF"/>
          <w:lang w:val="pt-PT"/>
        </w:rPr>
        <w:t xml:space="preserve"> de juro.</w:t>
      </w:r>
    </w:p>
    <w:p w14:paraId="3CA78884" w14:textId="48BEDF1C" w:rsidR="00880D43" w:rsidRPr="00781F53" w:rsidRDefault="00A843AB" w:rsidP="00781F53">
      <w:pPr>
        <w:spacing w:before="100" w:beforeAutospacing="1" w:after="100" w:afterAutospacing="1" w:line="276" w:lineRule="auto"/>
        <w:ind w:left="284"/>
        <w:rPr>
          <w:rFonts w:ascii="Arial" w:hAnsi="Arial" w:cs="Arial"/>
          <w:b/>
          <w:bCs/>
          <w:color w:val="404040"/>
          <w:lang w:val="pt-PT"/>
        </w:rPr>
      </w:pPr>
      <w:r w:rsidRPr="00781F53">
        <w:rPr>
          <w:rFonts w:ascii="Arial" w:hAnsi="Arial" w:cs="Arial"/>
          <w:b/>
          <w:bCs/>
          <w:noProof/>
          <w:color w:val="404040"/>
          <w:lang w:val="pt-PT"/>
        </w:rPr>
        <w:drawing>
          <wp:anchor distT="0" distB="0" distL="114300" distR="114300" simplePos="0" relativeHeight="251658243" behindDoc="0" locked="0" layoutInCell="1" allowOverlap="1" wp14:anchorId="5E77F433" wp14:editId="5F03CD4C">
            <wp:simplePos x="0" y="0"/>
            <wp:positionH relativeFrom="leftMargin">
              <wp:posOffset>670967</wp:posOffset>
            </wp:positionH>
            <wp:positionV relativeFrom="paragraph">
              <wp:posOffset>499338</wp:posOffset>
            </wp:positionV>
            <wp:extent cx="304800" cy="250115"/>
            <wp:effectExtent l="0" t="0" r="0" b="0"/>
            <wp:wrapNone/>
            <wp:docPr id="1"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4800" cy="2501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80D43" w:rsidRPr="00781F53">
        <w:rPr>
          <w:rFonts w:ascii="Arial" w:hAnsi="Arial" w:cs="Arial"/>
          <w:b/>
          <w:bCs/>
          <w:color w:val="404040"/>
          <w:lang w:val="pt-PT"/>
        </w:rPr>
        <w:t>Rafal</w:t>
      </w:r>
      <w:proofErr w:type="spellEnd"/>
      <w:r w:rsidR="00880D43" w:rsidRPr="00781F53">
        <w:rPr>
          <w:rFonts w:ascii="Arial" w:hAnsi="Arial" w:cs="Arial"/>
          <w:b/>
          <w:bCs/>
          <w:color w:val="404040"/>
          <w:lang w:val="pt-PT"/>
        </w:rPr>
        <w:t xml:space="preserve"> </w:t>
      </w:r>
      <w:proofErr w:type="spellStart"/>
      <w:r w:rsidR="00880D43" w:rsidRPr="00781F53">
        <w:rPr>
          <w:rFonts w:ascii="Arial" w:hAnsi="Arial" w:cs="Arial"/>
          <w:b/>
          <w:bCs/>
          <w:color w:val="404040"/>
          <w:lang w:val="pt-PT"/>
        </w:rPr>
        <w:t>Brzoska</w:t>
      </w:r>
      <w:proofErr w:type="spellEnd"/>
      <w:r w:rsidR="00880D43" w:rsidRPr="00781F53">
        <w:rPr>
          <w:rFonts w:ascii="Arial" w:hAnsi="Arial" w:cs="Arial"/>
          <w:b/>
          <w:bCs/>
          <w:color w:val="404040"/>
          <w:lang w:val="pt-PT"/>
        </w:rPr>
        <w:t xml:space="preserve">, </w:t>
      </w:r>
      <w:r w:rsidR="00F10BED">
        <w:rPr>
          <w:rFonts w:ascii="Arial" w:hAnsi="Arial" w:cs="Arial"/>
          <w:b/>
          <w:bCs/>
          <w:color w:val="404040"/>
          <w:lang w:val="pt-PT"/>
        </w:rPr>
        <w:t>Fundador</w:t>
      </w:r>
      <w:r w:rsidR="00880D43" w:rsidRPr="00781F53">
        <w:rPr>
          <w:rFonts w:ascii="Arial" w:hAnsi="Arial" w:cs="Arial"/>
          <w:b/>
          <w:bCs/>
          <w:color w:val="404040"/>
          <w:lang w:val="pt-PT"/>
        </w:rPr>
        <w:t xml:space="preserve"> </w:t>
      </w:r>
      <w:r w:rsidR="00F10BED">
        <w:rPr>
          <w:rFonts w:ascii="Arial" w:hAnsi="Arial" w:cs="Arial"/>
          <w:b/>
          <w:bCs/>
          <w:color w:val="404040"/>
          <w:lang w:val="pt-PT"/>
        </w:rPr>
        <w:t xml:space="preserve">e </w:t>
      </w:r>
      <w:r w:rsidR="00880D43" w:rsidRPr="00781F53">
        <w:rPr>
          <w:rFonts w:ascii="Arial" w:hAnsi="Arial" w:cs="Arial"/>
          <w:b/>
          <w:bCs/>
          <w:color w:val="404040"/>
          <w:lang w:val="pt-PT"/>
        </w:rPr>
        <w:t xml:space="preserve">CEO </w:t>
      </w:r>
      <w:r w:rsidR="00F10BED">
        <w:rPr>
          <w:rFonts w:ascii="Arial" w:hAnsi="Arial" w:cs="Arial"/>
          <w:b/>
          <w:bCs/>
          <w:color w:val="404040"/>
          <w:lang w:val="pt-PT"/>
        </w:rPr>
        <w:t>da</w:t>
      </w:r>
      <w:r w:rsidR="00880D43" w:rsidRPr="00781F53">
        <w:rPr>
          <w:rFonts w:ascii="Arial" w:hAnsi="Arial" w:cs="Arial"/>
          <w:b/>
          <w:bCs/>
          <w:color w:val="404040"/>
          <w:lang w:val="pt-PT"/>
        </w:rPr>
        <w:t xml:space="preserve"> </w:t>
      </w:r>
      <w:proofErr w:type="spellStart"/>
      <w:r w:rsidR="00880D43" w:rsidRPr="00781F53">
        <w:rPr>
          <w:rFonts w:ascii="Arial" w:hAnsi="Arial" w:cs="Arial"/>
          <w:b/>
          <w:bCs/>
          <w:color w:val="404040"/>
          <w:lang w:val="pt-PT"/>
        </w:rPr>
        <w:t>InPost</w:t>
      </w:r>
      <w:proofErr w:type="spellEnd"/>
      <w:r w:rsidR="00880D43" w:rsidRPr="00781F53">
        <w:rPr>
          <w:rFonts w:ascii="Arial" w:hAnsi="Arial" w:cs="Arial"/>
          <w:b/>
          <w:bCs/>
          <w:color w:val="404040"/>
          <w:lang w:val="pt-PT"/>
        </w:rPr>
        <w:t xml:space="preserve"> </w:t>
      </w:r>
    </w:p>
    <w:p w14:paraId="13E84AB7" w14:textId="3C708933" w:rsidR="00880D43" w:rsidRPr="00781F53" w:rsidRDefault="005D26F5" w:rsidP="00781F53">
      <w:pPr>
        <w:spacing w:before="100" w:beforeAutospacing="1" w:after="100" w:afterAutospacing="1" w:line="276" w:lineRule="auto"/>
        <w:ind w:left="284"/>
        <w:rPr>
          <w:rFonts w:ascii="Arial" w:hAnsi="Arial" w:cs="Arial"/>
          <w:b/>
          <w:color w:val="404040"/>
          <w:lang w:val="pt-PT"/>
        </w:rPr>
      </w:pPr>
      <w:r>
        <w:rPr>
          <w:rFonts w:ascii="Arial" w:hAnsi="Arial" w:cs="Arial"/>
          <w:color w:val="404040"/>
          <w:sz w:val="20"/>
          <w:szCs w:val="20"/>
          <w:lang w:val="pt-PT"/>
        </w:rPr>
        <w:t>A</w:t>
      </w:r>
      <w:r w:rsidRPr="005D26F5">
        <w:rPr>
          <w:rFonts w:ascii="Arial" w:hAnsi="Arial" w:cs="Arial"/>
          <w:color w:val="404040"/>
          <w:sz w:val="20"/>
          <w:szCs w:val="20"/>
          <w:lang w:val="pt-PT"/>
        </w:rPr>
        <w:t xml:space="preserve"> guerra na Ucrânia, os picos de preços de energia associados e a aceleração da inflação já crescente trazem muitas dificuldades e desafios. Os desafios de custos que se nos deparam são muito claros para todas as empresas que entregam encomendas. No entanto, acredito que a diferenciação estrutural associada à nossa proposta de cacifo automático só se torna mais proeminente em tempos como estes. O fosso entre a entrega mais dispendiosa ao domicílio e a nossa proposta de cacifo automatizado irá sem dúvida aumentar neste ambiente inflacionário. Além disso, as sanções associadas à guerra tornaram o objetivo de reduzir o consumo de energia tanto socialmente urgente, como relevante do ponto de vista do custo comercial e do poder de compra do consumidor. Como os nossos </w:t>
      </w:r>
      <w:r w:rsidR="001B506A">
        <w:rPr>
          <w:rFonts w:ascii="Arial" w:hAnsi="Arial" w:cs="Arial"/>
          <w:color w:val="404040"/>
          <w:sz w:val="20"/>
          <w:szCs w:val="20"/>
          <w:lang w:val="pt-PT"/>
        </w:rPr>
        <w:t>‘</w:t>
      </w:r>
      <w:proofErr w:type="spellStart"/>
      <w:r w:rsidR="001B506A">
        <w:rPr>
          <w:rFonts w:ascii="Arial" w:hAnsi="Arial" w:cs="Arial"/>
          <w:color w:val="404040"/>
          <w:sz w:val="20"/>
          <w:szCs w:val="20"/>
          <w:lang w:val="pt-PT"/>
        </w:rPr>
        <w:t>lockers</w:t>
      </w:r>
      <w:proofErr w:type="spellEnd"/>
      <w:r w:rsidR="001B506A">
        <w:rPr>
          <w:rFonts w:ascii="Arial" w:hAnsi="Arial" w:cs="Arial"/>
          <w:color w:val="404040"/>
          <w:sz w:val="20"/>
          <w:szCs w:val="20"/>
          <w:lang w:val="pt-PT"/>
        </w:rPr>
        <w:t>’</w:t>
      </w:r>
      <w:r w:rsidRPr="005D26F5">
        <w:rPr>
          <w:rFonts w:ascii="Arial" w:hAnsi="Arial" w:cs="Arial"/>
          <w:color w:val="404040"/>
          <w:sz w:val="20"/>
          <w:szCs w:val="20"/>
          <w:lang w:val="pt-PT"/>
        </w:rPr>
        <w:t xml:space="preserve"> automatizados têm uma eficiência energética superior e uma vantagem de custos, o nosso estatuto como a solução de última milha mais sustentável no comércio eletrónico irá acelerar ainda mais em 2022.</w:t>
      </w:r>
      <w:r>
        <w:rPr>
          <w:rFonts w:ascii="Arial" w:hAnsi="Arial" w:cs="Arial"/>
          <w:color w:val="404040"/>
          <w:sz w:val="20"/>
          <w:szCs w:val="20"/>
          <w:lang w:val="pt-PT"/>
        </w:rPr>
        <w:br/>
      </w:r>
      <w:r w:rsidR="00880D43" w:rsidRPr="00781F53">
        <w:rPr>
          <w:rFonts w:ascii="Arial" w:hAnsi="Arial" w:cs="Arial"/>
          <w:noProof/>
          <w:color w:val="404040"/>
          <w:sz w:val="20"/>
          <w:szCs w:val="20"/>
          <w:lang w:val="pt-PT"/>
        </w:rPr>
        <w:drawing>
          <wp:anchor distT="0" distB="0" distL="114300" distR="114300" simplePos="0" relativeHeight="251658242" behindDoc="0" locked="1" layoutInCell="1" allowOverlap="1" wp14:anchorId="51F66917" wp14:editId="1F593061">
            <wp:simplePos x="0" y="0"/>
            <wp:positionH relativeFrom="rightMargin">
              <wp:align>left</wp:align>
            </wp:positionH>
            <wp:positionV relativeFrom="paragraph">
              <wp:posOffset>1987550</wp:posOffset>
            </wp:positionV>
            <wp:extent cx="291465" cy="240665"/>
            <wp:effectExtent l="0" t="0" r="0" b="6985"/>
            <wp:wrapNone/>
            <wp:docPr id="6"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1465" cy="240665"/>
                    </a:xfrm>
                    <a:prstGeom prst="rect">
                      <a:avLst/>
                    </a:prstGeom>
                  </pic:spPr>
                </pic:pic>
              </a:graphicData>
            </a:graphic>
            <wp14:sizeRelH relativeFrom="margin">
              <wp14:pctWidth>0</wp14:pctWidth>
            </wp14:sizeRelH>
            <wp14:sizeRelV relativeFrom="margin">
              <wp14:pctHeight>0</wp14:pctHeight>
            </wp14:sizeRelV>
          </wp:anchor>
        </w:drawing>
      </w:r>
      <w:r w:rsidR="04A04065" w:rsidRPr="00781F53">
        <w:rPr>
          <w:rFonts w:ascii="Arial" w:hAnsi="Arial" w:cs="Arial"/>
          <w:color w:val="404040"/>
          <w:sz w:val="20"/>
          <w:szCs w:val="20"/>
          <w:lang w:val="pt-PT"/>
        </w:rPr>
        <w:t xml:space="preserve"> </w:t>
      </w:r>
    </w:p>
    <w:p w14:paraId="12173F0D" w14:textId="098C8F3B" w:rsidR="00D44B43" w:rsidRPr="00781F53" w:rsidRDefault="005D26F5" w:rsidP="00781F53">
      <w:pPr>
        <w:spacing w:after="60" w:line="276" w:lineRule="auto"/>
        <w:ind w:right="-425"/>
        <w:rPr>
          <w:rFonts w:ascii="Arial" w:hAnsi="Arial" w:cs="Arial"/>
          <w:b/>
          <w:color w:val="404040" w:themeColor="text1" w:themeTint="BF"/>
          <w:lang w:val="pt-PT"/>
        </w:rPr>
      </w:pPr>
      <w:r w:rsidRPr="005D26F5">
        <w:rPr>
          <w:rFonts w:ascii="Arial" w:hAnsi="Arial" w:cs="Arial"/>
          <w:b/>
          <w:color w:val="404040" w:themeColor="text1" w:themeTint="BF"/>
          <w:lang w:val="pt-PT"/>
        </w:rPr>
        <w:t xml:space="preserve">OBJECTIVOS ESTRATÉGICOS </w:t>
      </w:r>
      <w:r>
        <w:rPr>
          <w:rFonts w:ascii="Arial" w:hAnsi="Arial" w:cs="Arial"/>
          <w:b/>
          <w:color w:val="404040" w:themeColor="text1" w:themeTint="BF"/>
          <w:lang w:val="pt-PT"/>
        </w:rPr>
        <w:t xml:space="preserve">para </w:t>
      </w:r>
      <w:r w:rsidR="00D44B43" w:rsidRPr="00781F53">
        <w:rPr>
          <w:rFonts w:ascii="Arial" w:hAnsi="Arial" w:cs="Arial"/>
          <w:b/>
          <w:color w:val="404040" w:themeColor="text1" w:themeTint="BF"/>
          <w:lang w:val="pt-PT"/>
        </w:rPr>
        <w:t xml:space="preserve">2022 </w:t>
      </w:r>
    </w:p>
    <w:p w14:paraId="2C9CAC32" w14:textId="4B02B7E1" w:rsidR="005D26F5" w:rsidRDefault="005D26F5" w:rsidP="00781F53">
      <w:pPr>
        <w:spacing w:after="120" w:line="276" w:lineRule="auto"/>
        <w:ind w:right="-425"/>
        <w:rPr>
          <w:rFonts w:ascii="Arial" w:hAnsi="Arial" w:cs="Arial"/>
          <w:color w:val="404040" w:themeColor="text1" w:themeTint="BF"/>
          <w:lang w:val="pt-PT"/>
        </w:rPr>
      </w:pPr>
      <w:r w:rsidRPr="005D26F5">
        <w:rPr>
          <w:rFonts w:ascii="Arial" w:hAnsi="Arial" w:cs="Arial"/>
          <w:color w:val="404040" w:themeColor="text1" w:themeTint="BF"/>
          <w:lang w:val="pt-PT"/>
        </w:rPr>
        <w:t xml:space="preserve">Num 2022 desafiante, </w:t>
      </w:r>
      <w:r>
        <w:rPr>
          <w:rFonts w:ascii="Arial" w:hAnsi="Arial" w:cs="Arial"/>
          <w:color w:val="404040" w:themeColor="text1" w:themeTint="BF"/>
          <w:lang w:val="pt-PT"/>
        </w:rPr>
        <w:t>a</w:t>
      </w:r>
      <w:r w:rsidRPr="005D26F5">
        <w:rPr>
          <w:rFonts w:ascii="Arial" w:hAnsi="Arial" w:cs="Arial"/>
          <w:color w:val="404040" w:themeColor="text1" w:themeTint="BF"/>
          <w:lang w:val="pt-PT"/>
        </w:rPr>
        <w:t xml:space="preserve"> </w:t>
      </w:r>
      <w:proofErr w:type="spellStart"/>
      <w:r w:rsidRPr="005D26F5">
        <w:rPr>
          <w:rFonts w:ascii="Arial" w:hAnsi="Arial" w:cs="Arial"/>
          <w:color w:val="404040" w:themeColor="text1" w:themeTint="BF"/>
          <w:lang w:val="pt-PT"/>
        </w:rPr>
        <w:t>InPost</w:t>
      </w:r>
      <w:proofErr w:type="spellEnd"/>
      <w:r w:rsidRPr="005D26F5">
        <w:rPr>
          <w:rFonts w:ascii="Arial" w:hAnsi="Arial" w:cs="Arial"/>
          <w:color w:val="404040" w:themeColor="text1" w:themeTint="BF"/>
          <w:lang w:val="pt-PT"/>
        </w:rPr>
        <w:t xml:space="preserve"> continuará a concentrar-se no crescimento sustentável, construindo sobre as relações existentes e alimentando novas oportunidades. Em 2022, as prioridades da empresa são</w:t>
      </w:r>
      <w:r>
        <w:rPr>
          <w:rFonts w:ascii="Arial" w:hAnsi="Arial" w:cs="Arial"/>
          <w:color w:val="404040" w:themeColor="text1" w:themeTint="BF"/>
          <w:lang w:val="pt-PT"/>
        </w:rPr>
        <w:t>:</w:t>
      </w:r>
      <w:r w:rsidRPr="005D26F5">
        <w:rPr>
          <w:rFonts w:ascii="Arial" w:hAnsi="Arial" w:cs="Arial"/>
          <w:color w:val="404040" w:themeColor="text1" w:themeTint="BF"/>
          <w:lang w:val="pt-PT"/>
        </w:rPr>
        <w:t xml:space="preserve"> </w:t>
      </w:r>
    </w:p>
    <w:p w14:paraId="2E8CB1A5" w14:textId="77777777" w:rsidR="005D26F5" w:rsidRDefault="005D26F5" w:rsidP="00781F53">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D26F5">
        <w:rPr>
          <w:rFonts w:ascii="Arial" w:hAnsi="Arial" w:cs="Arial"/>
          <w:color w:val="404040" w:themeColor="text1" w:themeTint="BF"/>
          <w:lang w:val="pt-PT"/>
        </w:rPr>
        <w:t>Alavancar a aceleração da sua expansão na Polónia e continuar a aumentar seletivamente a densidade da sua rede APM urbana, juntamente com a expansão rural. Isto manterá a diferenciação competitiva e facilitará uma maior utilização da crescente base de parceiros comerciais d</w:t>
      </w:r>
      <w:r>
        <w:rPr>
          <w:rFonts w:ascii="Arial" w:hAnsi="Arial" w:cs="Arial"/>
          <w:color w:val="404040" w:themeColor="text1" w:themeTint="BF"/>
          <w:lang w:val="pt-PT"/>
        </w:rPr>
        <w:t>a</w:t>
      </w:r>
      <w:r w:rsidRPr="005D26F5">
        <w:rPr>
          <w:rFonts w:ascii="Arial" w:hAnsi="Arial" w:cs="Arial"/>
          <w:color w:val="404040" w:themeColor="text1" w:themeTint="BF"/>
          <w:lang w:val="pt-PT"/>
        </w:rPr>
        <w:t xml:space="preserve"> </w:t>
      </w:r>
      <w:proofErr w:type="spellStart"/>
      <w:r w:rsidRPr="005D26F5">
        <w:rPr>
          <w:rFonts w:ascii="Arial" w:hAnsi="Arial" w:cs="Arial"/>
          <w:color w:val="404040" w:themeColor="text1" w:themeTint="BF"/>
          <w:lang w:val="pt-PT"/>
        </w:rPr>
        <w:t>InPost</w:t>
      </w:r>
      <w:proofErr w:type="spellEnd"/>
      <w:r w:rsidRPr="005D26F5">
        <w:rPr>
          <w:rFonts w:ascii="Arial" w:hAnsi="Arial" w:cs="Arial"/>
          <w:color w:val="404040" w:themeColor="text1" w:themeTint="BF"/>
          <w:lang w:val="pt-PT"/>
        </w:rPr>
        <w:t xml:space="preserve">. A </w:t>
      </w:r>
      <w:proofErr w:type="spellStart"/>
      <w:r w:rsidRPr="005D26F5">
        <w:rPr>
          <w:rFonts w:ascii="Arial" w:hAnsi="Arial" w:cs="Arial"/>
          <w:color w:val="404040" w:themeColor="text1" w:themeTint="BF"/>
          <w:lang w:val="pt-PT"/>
        </w:rPr>
        <w:t>InPost</w:t>
      </w:r>
      <w:proofErr w:type="spellEnd"/>
      <w:r w:rsidRPr="005D26F5">
        <w:rPr>
          <w:rFonts w:ascii="Arial" w:hAnsi="Arial" w:cs="Arial"/>
          <w:color w:val="404040" w:themeColor="text1" w:themeTint="BF"/>
          <w:lang w:val="pt-PT"/>
        </w:rPr>
        <w:t xml:space="preserve"> espera que 2022 seja o ano de maior crescimento da sua quota de mercado, à medida que o cimento endurece ainda mais a sua posição de liderança no mercado polaco de encomendas B2C.</w:t>
      </w:r>
    </w:p>
    <w:p w14:paraId="0E68314F" w14:textId="77777777" w:rsidR="005D26F5" w:rsidRDefault="005D26F5" w:rsidP="00142056">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5D26F5">
        <w:rPr>
          <w:rFonts w:ascii="Arial" w:hAnsi="Arial" w:cs="Arial"/>
          <w:color w:val="404040" w:themeColor="text1" w:themeTint="BF"/>
          <w:lang w:val="pt-PT"/>
        </w:rPr>
        <w:t>Acelerar a transformação da Mondial Relay para uma experiência de cliente de primeira classe dentro da rede PUDO e deliciar os seus clientes com a simplicidade e comodidade das suas máquinas de encomendas automatizadas.</w:t>
      </w:r>
    </w:p>
    <w:p w14:paraId="139F77AF" w14:textId="77777777" w:rsidR="00E91000" w:rsidRDefault="00E91000" w:rsidP="00E9100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E91000">
        <w:rPr>
          <w:rFonts w:ascii="Arial" w:hAnsi="Arial" w:cs="Arial"/>
          <w:color w:val="404040" w:themeColor="text1" w:themeTint="BF"/>
          <w:lang w:val="pt-PT"/>
        </w:rPr>
        <w:t xml:space="preserve">Escalar prudentemente as operações no </w:t>
      </w:r>
      <w:r w:rsidR="005D26F5" w:rsidRPr="00E91000">
        <w:rPr>
          <w:rFonts w:ascii="Arial" w:hAnsi="Arial" w:cs="Arial"/>
          <w:color w:val="404040" w:themeColor="text1" w:themeTint="BF"/>
          <w:lang w:val="pt-PT"/>
        </w:rPr>
        <w:t xml:space="preserve">Reino Unido, visando a população jovem baseada na moda que se alinha com muitos dos seus parceiros comerciais. Consciente da prioridade de manter um </w:t>
      </w:r>
      <w:r w:rsidRPr="00E91000">
        <w:rPr>
          <w:rFonts w:ascii="Arial" w:hAnsi="Arial" w:cs="Arial"/>
          <w:color w:val="404040" w:themeColor="text1" w:themeTint="BF"/>
          <w:lang w:val="pt-PT"/>
        </w:rPr>
        <w:t xml:space="preserve">equilíbrio </w:t>
      </w:r>
      <w:r w:rsidR="005D26F5" w:rsidRPr="00E91000">
        <w:rPr>
          <w:rFonts w:ascii="Arial" w:hAnsi="Arial" w:cs="Arial"/>
          <w:color w:val="404040" w:themeColor="text1" w:themeTint="BF"/>
          <w:lang w:val="pt-PT"/>
        </w:rPr>
        <w:t xml:space="preserve">forte nos tempos de volatilidade, </w:t>
      </w:r>
      <w:r w:rsidRPr="00E91000">
        <w:rPr>
          <w:rFonts w:ascii="Arial" w:hAnsi="Arial" w:cs="Arial"/>
          <w:color w:val="404040" w:themeColor="text1" w:themeTint="BF"/>
          <w:lang w:val="pt-PT"/>
        </w:rPr>
        <w:t>a</w:t>
      </w:r>
      <w:r w:rsidR="005D26F5" w:rsidRPr="00E91000">
        <w:rPr>
          <w:rFonts w:ascii="Arial" w:hAnsi="Arial" w:cs="Arial"/>
          <w:color w:val="404040" w:themeColor="text1" w:themeTint="BF"/>
          <w:lang w:val="pt-PT"/>
        </w:rPr>
        <w:t xml:space="preserve"> </w:t>
      </w:r>
      <w:proofErr w:type="spellStart"/>
      <w:r w:rsidR="005D26F5" w:rsidRPr="00E91000">
        <w:rPr>
          <w:rFonts w:ascii="Arial" w:hAnsi="Arial" w:cs="Arial"/>
          <w:color w:val="404040" w:themeColor="text1" w:themeTint="BF"/>
          <w:lang w:val="pt-PT"/>
        </w:rPr>
        <w:t>InPost</w:t>
      </w:r>
      <w:proofErr w:type="spellEnd"/>
      <w:r w:rsidR="005D26F5" w:rsidRPr="00E91000">
        <w:rPr>
          <w:rFonts w:ascii="Arial" w:hAnsi="Arial" w:cs="Arial"/>
          <w:color w:val="404040" w:themeColor="text1" w:themeTint="BF"/>
          <w:lang w:val="pt-PT"/>
        </w:rPr>
        <w:t xml:space="preserve"> continuará a ser altamente disciplinad</w:t>
      </w:r>
      <w:r w:rsidRPr="00E91000">
        <w:rPr>
          <w:rFonts w:ascii="Arial" w:hAnsi="Arial" w:cs="Arial"/>
          <w:color w:val="404040" w:themeColor="text1" w:themeTint="BF"/>
          <w:lang w:val="pt-PT"/>
        </w:rPr>
        <w:t>a</w:t>
      </w:r>
      <w:r w:rsidR="005D26F5" w:rsidRPr="00E91000">
        <w:rPr>
          <w:rFonts w:ascii="Arial" w:hAnsi="Arial" w:cs="Arial"/>
          <w:color w:val="404040" w:themeColor="text1" w:themeTint="BF"/>
          <w:lang w:val="pt-PT"/>
        </w:rPr>
        <w:t xml:space="preserve"> com a expansão. </w:t>
      </w:r>
    </w:p>
    <w:p w14:paraId="6526EE36" w14:textId="23F57D20" w:rsidR="00880D43" w:rsidRPr="00E91000" w:rsidRDefault="00E91000" w:rsidP="00E91000">
      <w:pPr>
        <w:pStyle w:val="PargrafodaLista"/>
        <w:numPr>
          <w:ilvl w:val="0"/>
          <w:numId w:val="4"/>
        </w:numPr>
        <w:spacing w:after="60" w:line="276" w:lineRule="auto"/>
        <w:ind w:left="714" w:right="-425" w:hanging="357"/>
        <w:contextualSpacing w:val="0"/>
        <w:rPr>
          <w:rFonts w:ascii="Arial" w:hAnsi="Arial" w:cs="Arial"/>
          <w:color w:val="404040" w:themeColor="text1" w:themeTint="BF"/>
          <w:lang w:val="pt-PT"/>
        </w:rPr>
      </w:pPr>
      <w:r w:rsidRPr="00E91000">
        <w:rPr>
          <w:rFonts w:ascii="Arial" w:hAnsi="Arial" w:cs="Arial"/>
          <w:color w:val="404040" w:themeColor="text1" w:themeTint="BF"/>
          <w:lang w:val="pt-PT"/>
        </w:rPr>
        <w:t>Incorporar ainda mais a estratégia ESG em toda a empresa para se tornar não só um produto de primeira classe, mas também um negócio ESG de primeira classe.</w:t>
      </w:r>
      <w:r w:rsidRPr="00E91000">
        <w:rPr>
          <w:rFonts w:ascii="Arial" w:hAnsi="Arial" w:cs="Arial"/>
          <w:color w:val="404040" w:themeColor="text1" w:themeTint="BF"/>
          <w:lang w:val="pt-PT"/>
        </w:rPr>
        <w:br/>
      </w:r>
      <w:r w:rsidRPr="00E91000">
        <w:rPr>
          <w:rFonts w:ascii="Arial" w:hAnsi="Arial" w:cs="Arial"/>
          <w:b/>
          <w:bCs/>
          <w:color w:val="404040"/>
          <w:lang w:val="pt-PT"/>
        </w:rPr>
        <w:t>DESTAQUES FINANCEIRO</w:t>
      </w:r>
      <w:r>
        <w:rPr>
          <w:rFonts w:ascii="Arial" w:hAnsi="Arial" w:cs="Arial"/>
          <w:b/>
          <w:bCs/>
          <w:color w:val="404040"/>
          <w:lang w:val="pt-PT"/>
        </w:rPr>
        <w:t>S</w:t>
      </w:r>
      <w:r w:rsidRPr="00E91000">
        <w:rPr>
          <w:rFonts w:ascii="Arial" w:hAnsi="Arial" w:cs="Arial"/>
          <w:b/>
          <w:bCs/>
          <w:color w:val="404040"/>
          <w:lang w:val="pt-PT"/>
        </w:rPr>
        <w:t xml:space="preserve"> DO ANO FISCAL </w:t>
      </w:r>
      <w:r w:rsidR="00880D43" w:rsidRPr="00E91000">
        <w:rPr>
          <w:rFonts w:ascii="Arial" w:hAnsi="Arial" w:cs="Arial"/>
          <w:b/>
          <w:bCs/>
          <w:color w:val="404040"/>
          <w:lang w:val="pt-PT"/>
        </w:rPr>
        <w:t xml:space="preserve">2021 </w:t>
      </w:r>
    </w:p>
    <w:tbl>
      <w:tblPr>
        <w:tblpPr w:leftFromText="141" w:rightFromText="141" w:vertAnchor="text" w:horzAnchor="page" w:tblpX="721" w:tblpY="682"/>
        <w:tblW w:w="10000" w:type="dxa"/>
        <w:tblCellMar>
          <w:left w:w="70" w:type="dxa"/>
          <w:right w:w="70" w:type="dxa"/>
        </w:tblCellMar>
        <w:tblLook w:val="04A0" w:firstRow="1" w:lastRow="0" w:firstColumn="1" w:lastColumn="0" w:noHBand="0" w:noVBand="1"/>
      </w:tblPr>
      <w:tblGrid>
        <w:gridCol w:w="5080"/>
        <w:gridCol w:w="1740"/>
        <w:gridCol w:w="1680"/>
        <w:gridCol w:w="1500"/>
      </w:tblGrid>
      <w:tr w:rsidR="000530F5" w:rsidRPr="00781F53" w14:paraId="7528E22F" w14:textId="77777777" w:rsidTr="00627B6B">
        <w:trPr>
          <w:trHeight w:val="300"/>
        </w:trPr>
        <w:tc>
          <w:tcPr>
            <w:tcW w:w="5080" w:type="dxa"/>
            <w:tcBorders>
              <w:top w:val="nil"/>
              <w:left w:val="nil"/>
              <w:bottom w:val="nil"/>
              <w:right w:val="nil"/>
            </w:tcBorders>
            <w:shd w:val="clear" w:color="auto" w:fill="FFCB04"/>
            <w:vAlign w:val="center"/>
            <w:hideMark/>
          </w:tcPr>
          <w:p w14:paraId="0DFB76DC" w14:textId="1A1F53E9" w:rsidR="000530F5" w:rsidRPr="00781F53" w:rsidRDefault="00E91000" w:rsidP="00781F53">
            <w:pPr>
              <w:widowControl/>
              <w:autoSpaceDE/>
              <w:autoSpaceDN/>
              <w:spacing w:line="276" w:lineRule="auto"/>
              <w:rPr>
                <w:rFonts w:ascii="Arial" w:eastAsia="Times New Roman" w:hAnsi="Arial" w:cs="Arial"/>
                <w:b/>
                <w:bCs/>
                <w:color w:val="404040"/>
                <w:sz w:val="14"/>
                <w:szCs w:val="14"/>
                <w:lang w:val="pt-PT" w:eastAsia="pl-PL"/>
              </w:rPr>
            </w:pPr>
            <w:r>
              <w:rPr>
                <w:rFonts w:ascii="Arial" w:eastAsia="Times New Roman" w:hAnsi="Arial" w:cs="Arial"/>
                <w:b/>
                <w:bCs/>
                <w:color w:val="404040"/>
                <w:sz w:val="14"/>
                <w:szCs w:val="14"/>
                <w:lang w:val="pt-PT" w:eastAsia="pl-PL"/>
              </w:rPr>
              <w:t xml:space="preserve">Milhões de zloty </w:t>
            </w:r>
            <w:proofErr w:type="gramStart"/>
            <w:r w:rsidRPr="00E91000">
              <w:rPr>
                <w:rFonts w:ascii="Arial" w:eastAsia="Times New Roman" w:hAnsi="Arial" w:cs="Arial"/>
                <w:b/>
                <w:bCs/>
                <w:color w:val="404040"/>
                <w:sz w:val="14"/>
                <w:szCs w:val="14"/>
                <w:lang w:val="pt-PT" w:eastAsia="pl-PL"/>
              </w:rPr>
              <w:t>salvo</w:t>
            </w:r>
            <w:proofErr w:type="gramEnd"/>
            <w:r w:rsidRPr="00E91000">
              <w:rPr>
                <w:rFonts w:ascii="Arial" w:eastAsia="Times New Roman" w:hAnsi="Arial" w:cs="Arial"/>
                <w:b/>
                <w:bCs/>
                <w:color w:val="404040"/>
                <w:sz w:val="14"/>
                <w:szCs w:val="14"/>
                <w:lang w:val="pt-PT" w:eastAsia="pl-PL"/>
              </w:rPr>
              <w:t xml:space="preserve"> indicação em contrário</w:t>
            </w:r>
          </w:p>
        </w:tc>
        <w:tc>
          <w:tcPr>
            <w:tcW w:w="1740" w:type="dxa"/>
            <w:tcBorders>
              <w:top w:val="nil"/>
              <w:left w:val="nil"/>
              <w:bottom w:val="nil"/>
              <w:right w:val="nil"/>
            </w:tcBorders>
            <w:shd w:val="clear" w:color="auto" w:fill="FFCB04"/>
            <w:vAlign w:val="center"/>
            <w:hideMark/>
          </w:tcPr>
          <w:p w14:paraId="030B83B5"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r w:rsidRPr="00781F53">
              <w:rPr>
                <w:rFonts w:ascii="Arial" w:eastAsia="Times New Roman" w:hAnsi="Arial" w:cs="Arial"/>
                <w:b/>
                <w:bCs/>
                <w:color w:val="404040"/>
                <w:sz w:val="14"/>
                <w:szCs w:val="14"/>
                <w:lang w:val="pt-PT" w:eastAsia="pl-PL"/>
              </w:rPr>
              <w:t>12M 2021</w:t>
            </w:r>
          </w:p>
        </w:tc>
        <w:tc>
          <w:tcPr>
            <w:tcW w:w="1680" w:type="dxa"/>
            <w:tcBorders>
              <w:top w:val="nil"/>
              <w:left w:val="nil"/>
              <w:bottom w:val="nil"/>
              <w:right w:val="nil"/>
            </w:tcBorders>
            <w:shd w:val="clear" w:color="auto" w:fill="FFCB04"/>
            <w:vAlign w:val="center"/>
            <w:hideMark/>
          </w:tcPr>
          <w:p w14:paraId="6BC8698E"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r w:rsidRPr="00781F53">
              <w:rPr>
                <w:rFonts w:ascii="Arial" w:eastAsia="Times New Roman" w:hAnsi="Arial" w:cs="Arial"/>
                <w:b/>
                <w:bCs/>
                <w:color w:val="404040"/>
                <w:sz w:val="14"/>
                <w:szCs w:val="14"/>
                <w:lang w:val="pt-PT" w:eastAsia="pl-PL"/>
              </w:rPr>
              <w:t>12M 2020</w:t>
            </w:r>
          </w:p>
        </w:tc>
        <w:tc>
          <w:tcPr>
            <w:tcW w:w="1500" w:type="dxa"/>
            <w:tcBorders>
              <w:top w:val="nil"/>
              <w:left w:val="nil"/>
              <w:bottom w:val="nil"/>
              <w:right w:val="nil"/>
            </w:tcBorders>
            <w:shd w:val="clear" w:color="auto" w:fill="FFCB04"/>
            <w:vAlign w:val="center"/>
            <w:hideMark/>
          </w:tcPr>
          <w:p w14:paraId="02864C47"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proofErr w:type="spellStart"/>
            <w:r w:rsidRPr="00781F53">
              <w:rPr>
                <w:rFonts w:ascii="Arial" w:eastAsia="Times New Roman" w:hAnsi="Arial" w:cs="Arial"/>
                <w:b/>
                <w:bCs/>
                <w:color w:val="404040"/>
                <w:sz w:val="14"/>
                <w:szCs w:val="14"/>
                <w:lang w:val="pt-PT" w:eastAsia="pl-PL"/>
              </w:rPr>
              <w:t>YoY</w:t>
            </w:r>
            <w:proofErr w:type="spellEnd"/>
            <w:r w:rsidRPr="00781F53">
              <w:rPr>
                <w:rFonts w:ascii="Arial" w:eastAsia="Times New Roman" w:hAnsi="Arial" w:cs="Arial"/>
                <w:b/>
                <w:bCs/>
                <w:color w:val="404040"/>
                <w:sz w:val="14"/>
                <w:szCs w:val="14"/>
                <w:lang w:val="pt-PT" w:eastAsia="pl-PL"/>
              </w:rPr>
              <w:t xml:space="preserve"> </w:t>
            </w:r>
            <w:proofErr w:type="spellStart"/>
            <w:r w:rsidRPr="00781F53">
              <w:rPr>
                <w:rFonts w:ascii="Arial" w:eastAsia="Times New Roman" w:hAnsi="Arial" w:cs="Arial"/>
                <w:b/>
                <w:bCs/>
                <w:color w:val="404040"/>
                <w:sz w:val="14"/>
                <w:szCs w:val="14"/>
                <w:lang w:val="pt-PT" w:eastAsia="pl-PL"/>
              </w:rPr>
              <w:t>growth</w:t>
            </w:r>
            <w:proofErr w:type="spellEnd"/>
          </w:p>
        </w:tc>
      </w:tr>
      <w:tr w:rsidR="000530F5" w:rsidRPr="00781F53" w14:paraId="418EBFBE"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3C7A0D3A" w14:textId="7F5A1498" w:rsidR="000530F5" w:rsidRPr="00781F53" w:rsidRDefault="00E91000"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Receita</w:t>
            </w:r>
            <w:r w:rsidR="004C019C">
              <w:rPr>
                <w:rFonts w:ascii="Arial" w:eastAsia="Times New Roman" w:hAnsi="Arial" w:cs="Arial"/>
                <w:b/>
                <w:bCs/>
                <w:color w:val="404040"/>
                <w:sz w:val="18"/>
                <w:szCs w:val="18"/>
                <w:lang w:val="pt-PT" w:eastAsia="pl-PL"/>
              </w:rPr>
              <w:t>s</w:t>
            </w:r>
          </w:p>
        </w:tc>
        <w:tc>
          <w:tcPr>
            <w:tcW w:w="1740" w:type="dxa"/>
            <w:tcBorders>
              <w:top w:val="nil"/>
              <w:left w:val="nil"/>
              <w:bottom w:val="nil"/>
              <w:right w:val="nil"/>
            </w:tcBorders>
            <w:shd w:val="clear" w:color="auto" w:fill="D9D9D9" w:themeFill="background1" w:themeFillShade="D9"/>
            <w:noWrap/>
            <w:vAlign w:val="center"/>
            <w:hideMark/>
          </w:tcPr>
          <w:p w14:paraId="315A470F"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4,602.2</w:t>
            </w:r>
          </w:p>
        </w:tc>
        <w:tc>
          <w:tcPr>
            <w:tcW w:w="1680" w:type="dxa"/>
            <w:tcBorders>
              <w:top w:val="nil"/>
              <w:left w:val="nil"/>
              <w:bottom w:val="nil"/>
              <w:right w:val="nil"/>
            </w:tcBorders>
            <w:shd w:val="clear" w:color="auto" w:fill="D9D9D9" w:themeFill="background1" w:themeFillShade="D9"/>
            <w:noWrap/>
            <w:vAlign w:val="center"/>
            <w:hideMark/>
          </w:tcPr>
          <w:p w14:paraId="6F64CDE2"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2,528.1</w:t>
            </w:r>
          </w:p>
        </w:tc>
        <w:tc>
          <w:tcPr>
            <w:tcW w:w="1500" w:type="dxa"/>
            <w:tcBorders>
              <w:top w:val="nil"/>
              <w:left w:val="nil"/>
              <w:bottom w:val="nil"/>
              <w:right w:val="nil"/>
            </w:tcBorders>
            <w:shd w:val="clear" w:color="auto" w:fill="D9D9D9" w:themeFill="background1" w:themeFillShade="D9"/>
            <w:noWrap/>
            <w:vAlign w:val="center"/>
            <w:hideMark/>
          </w:tcPr>
          <w:p w14:paraId="093B433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82.0%</w:t>
            </w:r>
          </w:p>
        </w:tc>
      </w:tr>
      <w:tr w:rsidR="000530F5" w:rsidRPr="00781F53" w14:paraId="3BC10873"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1C5EB44B"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Poland</w:t>
            </w:r>
            <w:proofErr w:type="spellEnd"/>
            <w:r w:rsidRPr="00781F53">
              <w:rPr>
                <w:rFonts w:ascii="Arial" w:eastAsia="Times New Roman" w:hAnsi="Arial" w:cs="Arial"/>
                <w:color w:val="404040"/>
                <w:sz w:val="16"/>
                <w:szCs w:val="16"/>
                <w:lang w:val="pt-PT" w:eastAsia="pl-PL"/>
              </w:rPr>
              <w:t xml:space="preserve"> </w:t>
            </w:r>
          </w:p>
        </w:tc>
        <w:tc>
          <w:tcPr>
            <w:tcW w:w="1740" w:type="dxa"/>
            <w:tcBorders>
              <w:top w:val="nil"/>
              <w:left w:val="nil"/>
              <w:bottom w:val="nil"/>
              <w:right w:val="nil"/>
            </w:tcBorders>
            <w:shd w:val="clear" w:color="auto" w:fill="FFFFFF" w:themeFill="background1"/>
            <w:noWrap/>
            <w:vAlign w:val="center"/>
            <w:hideMark/>
          </w:tcPr>
          <w:p w14:paraId="783753AB"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3,453.4</w:t>
            </w:r>
          </w:p>
        </w:tc>
        <w:tc>
          <w:tcPr>
            <w:tcW w:w="1680" w:type="dxa"/>
            <w:tcBorders>
              <w:top w:val="nil"/>
              <w:left w:val="nil"/>
              <w:bottom w:val="nil"/>
              <w:right w:val="nil"/>
            </w:tcBorders>
            <w:shd w:val="clear" w:color="auto" w:fill="FFFFFF" w:themeFill="background1"/>
            <w:noWrap/>
            <w:vAlign w:val="center"/>
            <w:hideMark/>
          </w:tcPr>
          <w:p w14:paraId="7D91D0B0"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2,510.4</w:t>
            </w:r>
          </w:p>
        </w:tc>
        <w:tc>
          <w:tcPr>
            <w:tcW w:w="1500" w:type="dxa"/>
            <w:tcBorders>
              <w:top w:val="nil"/>
              <w:left w:val="nil"/>
              <w:bottom w:val="nil"/>
              <w:right w:val="nil"/>
            </w:tcBorders>
            <w:shd w:val="clear" w:color="auto" w:fill="FFFFFF" w:themeFill="background1"/>
            <w:noWrap/>
            <w:vAlign w:val="center"/>
            <w:hideMark/>
          </w:tcPr>
          <w:p w14:paraId="5DFFDCA8"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37.6%</w:t>
            </w:r>
          </w:p>
        </w:tc>
      </w:tr>
      <w:tr w:rsidR="000530F5" w:rsidRPr="00781F53" w14:paraId="753C4066"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776E016F"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International</w:t>
            </w:r>
            <w:proofErr w:type="spellEnd"/>
            <w:r w:rsidRPr="00781F53">
              <w:rPr>
                <w:rFonts w:ascii="Arial" w:eastAsia="Times New Roman" w:hAnsi="Arial" w:cs="Arial"/>
                <w:color w:val="404040"/>
                <w:sz w:val="16"/>
                <w:szCs w:val="16"/>
                <w:lang w:val="pt-PT" w:eastAsia="pl-PL"/>
              </w:rPr>
              <w:t xml:space="preserve"> (UK + IT) </w:t>
            </w:r>
          </w:p>
        </w:tc>
        <w:tc>
          <w:tcPr>
            <w:tcW w:w="1740" w:type="dxa"/>
            <w:tcBorders>
              <w:top w:val="nil"/>
              <w:left w:val="nil"/>
              <w:bottom w:val="nil"/>
              <w:right w:val="nil"/>
            </w:tcBorders>
            <w:shd w:val="clear" w:color="auto" w:fill="FFFFFF" w:themeFill="background1"/>
            <w:noWrap/>
            <w:vAlign w:val="center"/>
            <w:hideMark/>
          </w:tcPr>
          <w:p w14:paraId="523A0179"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68.8</w:t>
            </w:r>
          </w:p>
        </w:tc>
        <w:tc>
          <w:tcPr>
            <w:tcW w:w="1680" w:type="dxa"/>
            <w:tcBorders>
              <w:top w:val="nil"/>
              <w:left w:val="nil"/>
              <w:bottom w:val="nil"/>
              <w:right w:val="nil"/>
            </w:tcBorders>
            <w:shd w:val="clear" w:color="auto" w:fill="FFFFFF" w:themeFill="background1"/>
            <w:noWrap/>
            <w:vAlign w:val="center"/>
            <w:hideMark/>
          </w:tcPr>
          <w:p w14:paraId="16576C6E"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17.7</w:t>
            </w:r>
          </w:p>
        </w:tc>
        <w:tc>
          <w:tcPr>
            <w:tcW w:w="1500" w:type="dxa"/>
            <w:tcBorders>
              <w:top w:val="nil"/>
              <w:left w:val="nil"/>
              <w:bottom w:val="nil"/>
              <w:right w:val="nil"/>
            </w:tcBorders>
            <w:shd w:val="clear" w:color="auto" w:fill="FFFFFF" w:themeFill="background1"/>
            <w:noWrap/>
            <w:vAlign w:val="center"/>
            <w:hideMark/>
          </w:tcPr>
          <w:p w14:paraId="32E779E6" w14:textId="4C4A9C1E" w:rsidR="000530F5" w:rsidRPr="00781F53" w:rsidRDefault="14013D68"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288</w:t>
            </w:r>
            <w:r w:rsidR="000530F5" w:rsidRPr="00781F53">
              <w:rPr>
                <w:rFonts w:ascii="Arial" w:eastAsia="Times New Roman" w:hAnsi="Arial" w:cs="Arial"/>
                <w:color w:val="404040" w:themeColor="text1" w:themeTint="BF"/>
                <w:sz w:val="16"/>
                <w:szCs w:val="16"/>
                <w:lang w:val="pt-PT" w:eastAsia="pl-PL"/>
              </w:rPr>
              <w:t>.7%</w:t>
            </w:r>
          </w:p>
        </w:tc>
      </w:tr>
      <w:tr w:rsidR="000530F5" w:rsidRPr="00781F53" w14:paraId="0E25047A"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237F6CB6"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Mondial Relay </w:t>
            </w:r>
          </w:p>
        </w:tc>
        <w:tc>
          <w:tcPr>
            <w:tcW w:w="1740" w:type="dxa"/>
            <w:tcBorders>
              <w:top w:val="nil"/>
              <w:left w:val="nil"/>
              <w:bottom w:val="nil"/>
              <w:right w:val="nil"/>
            </w:tcBorders>
            <w:shd w:val="clear" w:color="auto" w:fill="FFFFFF" w:themeFill="background1"/>
            <w:noWrap/>
            <w:vAlign w:val="center"/>
            <w:hideMark/>
          </w:tcPr>
          <w:p w14:paraId="6A7A4C12"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1,080.0</w:t>
            </w:r>
          </w:p>
        </w:tc>
        <w:tc>
          <w:tcPr>
            <w:tcW w:w="1680" w:type="dxa"/>
            <w:tcBorders>
              <w:top w:val="nil"/>
              <w:left w:val="nil"/>
              <w:bottom w:val="nil"/>
              <w:right w:val="nil"/>
            </w:tcBorders>
            <w:shd w:val="clear" w:color="auto" w:fill="FFFFFF" w:themeFill="background1"/>
            <w:noWrap/>
            <w:vAlign w:val="center"/>
            <w:hideMark/>
          </w:tcPr>
          <w:p w14:paraId="70C53317" w14:textId="5D931846"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c>
          <w:tcPr>
            <w:tcW w:w="1500" w:type="dxa"/>
            <w:tcBorders>
              <w:top w:val="nil"/>
              <w:left w:val="nil"/>
              <w:bottom w:val="nil"/>
              <w:right w:val="nil"/>
            </w:tcBorders>
            <w:shd w:val="clear" w:color="auto" w:fill="FFFFFF" w:themeFill="background1"/>
            <w:noWrap/>
            <w:vAlign w:val="center"/>
            <w:hideMark/>
          </w:tcPr>
          <w:p w14:paraId="5845F06A" w14:textId="6F171D47"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r>
      <w:tr w:rsidR="000530F5" w:rsidRPr="00781F53" w14:paraId="61400703"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3D297A5D" w14:textId="687EC981" w:rsidR="000530F5" w:rsidRPr="00781F53" w:rsidRDefault="000530F5"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EBITDA</w:t>
            </w:r>
            <w:r w:rsidR="00E91000">
              <w:rPr>
                <w:rFonts w:ascii="Arial" w:eastAsia="Times New Roman" w:hAnsi="Arial" w:cs="Arial"/>
                <w:b/>
                <w:bCs/>
                <w:color w:val="404040"/>
                <w:sz w:val="18"/>
                <w:szCs w:val="18"/>
                <w:lang w:val="pt-PT" w:eastAsia="pl-PL"/>
              </w:rPr>
              <w:t xml:space="preserve"> Ajustado</w:t>
            </w:r>
          </w:p>
        </w:tc>
        <w:tc>
          <w:tcPr>
            <w:tcW w:w="1740" w:type="dxa"/>
            <w:tcBorders>
              <w:top w:val="nil"/>
              <w:left w:val="nil"/>
              <w:bottom w:val="nil"/>
              <w:right w:val="nil"/>
            </w:tcBorders>
            <w:shd w:val="clear" w:color="auto" w:fill="D9D9D9" w:themeFill="background1" w:themeFillShade="D9"/>
            <w:noWrap/>
            <w:vAlign w:val="center"/>
            <w:hideMark/>
          </w:tcPr>
          <w:p w14:paraId="7B48048B"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1,626.4</w:t>
            </w:r>
          </w:p>
        </w:tc>
        <w:tc>
          <w:tcPr>
            <w:tcW w:w="1680" w:type="dxa"/>
            <w:tcBorders>
              <w:top w:val="nil"/>
              <w:left w:val="nil"/>
              <w:bottom w:val="nil"/>
              <w:right w:val="nil"/>
            </w:tcBorders>
            <w:shd w:val="clear" w:color="auto" w:fill="D9D9D9" w:themeFill="background1" w:themeFillShade="D9"/>
            <w:noWrap/>
            <w:vAlign w:val="center"/>
            <w:hideMark/>
          </w:tcPr>
          <w:p w14:paraId="14E342A2"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993.7</w:t>
            </w:r>
          </w:p>
        </w:tc>
        <w:tc>
          <w:tcPr>
            <w:tcW w:w="1500" w:type="dxa"/>
            <w:tcBorders>
              <w:top w:val="nil"/>
              <w:left w:val="nil"/>
              <w:bottom w:val="nil"/>
              <w:right w:val="nil"/>
            </w:tcBorders>
            <w:shd w:val="clear" w:color="auto" w:fill="D9D9D9" w:themeFill="background1" w:themeFillShade="D9"/>
            <w:noWrap/>
            <w:vAlign w:val="center"/>
            <w:hideMark/>
          </w:tcPr>
          <w:p w14:paraId="6D7FF752"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63.7%</w:t>
            </w:r>
          </w:p>
        </w:tc>
      </w:tr>
      <w:tr w:rsidR="000530F5" w:rsidRPr="00781F53" w14:paraId="5886AD4C"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7059F29A"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Poland</w:t>
            </w:r>
            <w:proofErr w:type="spellEnd"/>
            <w:r w:rsidRPr="00781F53">
              <w:rPr>
                <w:rFonts w:ascii="Arial" w:eastAsia="Times New Roman" w:hAnsi="Arial" w:cs="Arial"/>
                <w:color w:val="404040"/>
                <w:sz w:val="16"/>
                <w:szCs w:val="16"/>
                <w:lang w:val="pt-PT" w:eastAsia="pl-PL"/>
              </w:rPr>
              <w:t xml:space="preserve"> </w:t>
            </w:r>
          </w:p>
        </w:tc>
        <w:tc>
          <w:tcPr>
            <w:tcW w:w="1740" w:type="dxa"/>
            <w:tcBorders>
              <w:top w:val="nil"/>
              <w:left w:val="nil"/>
              <w:bottom w:val="nil"/>
              <w:right w:val="nil"/>
            </w:tcBorders>
            <w:shd w:val="clear" w:color="auto" w:fill="FFFFFF" w:themeFill="background1"/>
            <w:noWrap/>
            <w:vAlign w:val="center"/>
            <w:hideMark/>
          </w:tcPr>
          <w:p w14:paraId="45BCE918"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1,592.2</w:t>
            </w:r>
          </w:p>
        </w:tc>
        <w:tc>
          <w:tcPr>
            <w:tcW w:w="1680" w:type="dxa"/>
            <w:tcBorders>
              <w:top w:val="nil"/>
              <w:left w:val="nil"/>
              <w:bottom w:val="nil"/>
              <w:right w:val="nil"/>
            </w:tcBorders>
            <w:shd w:val="clear" w:color="auto" w:fill="FFFFFF" w:themeFill="background1"/>
            <w:noWrap/>
            <w:vAlign w:val="center"/>
            <w:hideMark/>
          </w:tcPr>
          <w:p w14:paraId="7B470DF7"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1,037.8</w:t>
            </w:r>
          </w:p>
        </w:tc>
        <w:tc>
          <w:tcPr>
            <w:tcW w:w="1500" w:type="dxa"/>
            <w:tcBorders>
              <w:top w:val="nil"/>
              <w:left w:val="nil"/>
              <w:bottom w:val="nil"/>
              <w:right w:val="nil"/>
            </w:tcBorders>
            <w:shd w:val="clear" w:color="auto" w:fill="FFFFFF" w:themeFill="background1"/>
            <w:noWrap/>
            <w:vAlign w:val="center"/>
            <w:hideMark/>
          </w:tcPr>
          <w:p w14:paraId="6FEFAB2C"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53.4%</w:t>
            </w:r>
          </w:p>
        </w:tc>
      </w:tr>
      <w:tr w:rsidR="000530F5" w:rsidRPr="00781F53" w14:paraId="2521242A"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41B30F41"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International</w:t>
            </w:r>
            <w:proofErr w:type="spellEnd"/>
            <w:r w:rsidRPr="00781F53">
              <w:rPr>
                <w:rFonts w:ascii="Arial" w:eastAsia="Times New Roman" w:hAnsi="Arial" w:cs="Arial"/>
                <w:color w:val="404040"/>
                <w:sz w:val="16"/>
                <w:szCs w:val="16"/>
                <w:lang w:val="pt-PT" w:eastAsia="pl-PL"/>
              </w:rPr>
              <w:t xml:space="preserve"> (UK + IT) </w:t>
            </w:r>
          </w:p>
        </w:tc>
        <w:tc>
          <w:tcPr>
            <w:tcW w:w="1740" w:type="dxa"/>
            <w:tcBorders>
              <w:top w:val="nil"/>
              <w:left w:val="nil"/>
              <w:bottom w:val="nil"/>
              <w:right w:val="nil"/>
            </w:tcBorders>
            <w:shd w:val="clear" w:color="auto" w:fill="FFFFFF" w:themeFill="background1"/>
            <w:noWrap/>
            <w:vAlign w:val="center"/>
            <w:hideMark/>
          </w:tcPr>
          <w:p w14:paraId="0D5D17DE" w14:textId="0B3651A5"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(120.5)</w:t>
            </w:r>
          </w:p>
        </w:tc>
        <w:tc>
          <w:tcPr>
            <w:tcW w:w="1680" w:type="dxa"/>
            <w:tcBorders>
              <w:top w:val="nil"/>
              <w:left w:val="nil"/>
              <w:bottom w:val="nil"/>
              <w:right w:val="nil"/>
            </w:tcBorders>
            <w:shd w:val="clear" w:color="auto" w:fill="FFFFFF" w:themeFill="background1"/>
            <w:noWrap/>
            <w:vAlign w:val="center"/>
            <w:hideMark/>
          </w:tcPr>
          <w:p w14:paraId="47695EAA" w14:textId="7FD65E99"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(44.1)</w:t>
            </w:r>
          </w:p>
        </w:tc>
        <w:tc>
          <w:tcPr>
            <w:tcW w:w="1500" w:type="dxa"/>
            <w:tcBorders>
              <w:top w:val="nil"/>
              <w:left w:val="nil"/>
              <w:bottom w:val="nil"/>
              <w:right w:val="nil"/>
            </w:tcBorders>
            <w:shd w:val="clear" w:color="auto" w:fill="FFFFFF" w:themeFill="background1"/>
            <w:noWrap/>
            <w:vAlign w:val="center"/>
            <w:hideMark/>
          </w:tcPr>
          <w:p w14:paraId="30617062" w14:textId="356A8627" w:rsidR="000530F5" w:rsidRPr="00781F53" w:rsidRDefault="38F357BA"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0530F5" w:rsidRPr="00781F53" w14:paraId="0DA8E532"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03751A75"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 </w:t>
            </w: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Mondial Relay </w:t>
            </w:r>
          </w:p>
        </w:tc>
        <w:tc>
          <w:tcPr>
            <w:tcW w:w="1740" w:type="dxa"/>
            <w:tcBorders>
              <w:top w:val="nil"/>
              <w:left w:val="nil"/>
              <w:bottom w:val="nil"/>
              <w:right w:val="nil"/>
            </w:tcBorders>
            <w:shd w:val="clear" w:color="auto" w:fill="FFFFFF" w:themeFill="background1"/>
            <w:noWrap/>
            <w:vAlign w:val="center"/>
            <w:hideMark/>
          </w:tcPr>
          <w:p w14:paraId="3E849AA6"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154.7</w:t>
            </w:r>
          </w:p>
        </w:tc>
        <w:tc>
          <w:tcPr>
            <w:tcW w:w="1680" w:type="dxa"/>
            <w:tcBorders>
              <w:top w:val="nil"/>
              <w:left w:val="nil"/>
              <w:bottom w:val="nil"/>
              <w:right w:val="nil"/>
            </w:tcBorders>
            <w:shd w:val="clear" w:color="auto" w:fill="FFFFFF" w:themeFill="background1"/>
            <w:noWrap/>
            <w:vAlign w:val="center"/>
            <w:hideMark/>
          </w:tcPr>
          <w:p w14:paraId="002DA93A" w14:textId="58ECE72A"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c>
          <w:tcPr>
            <w:tcW w:w="1500" w:type="dxa"/>
            <w:tcBorders>
              <w:top w:val="nil"/>
              <w:left w:val="nil"/>
              <w:bottom w:val="nil"/>
              <w:right w:val="nil"/>
            </w:tcBorders>
            <w:shd w:val="clear" w:color="auto" w:fill="FFFFFF" w:themeFill="background1"/>
            <w:noWrap/>
            <w:vAlign w:val="center"/>
            <w:hideMark/>
          </w:tcPr>
          <w:p w14:paraId="72C1BE27" w14:textId="136D278D"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r>
      <w:tr w:rsidR="000530F5" w:rsidRPr="00781F53" w14:paraId="7E8CE649"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236D56CE" w14:textId="20A9456B" w:rsidR="000530F5" w:rsidRPr="00781F53" w:rsidRDefault="00E91000"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 xml:space="preserve">Margem </w:t>
            </w:r>
            <w:r w:rsidR="000530F5" w:rsidRPr="00781F53">
              <w:rPr>
                <w:rFonts w:ascii="Arial" w:eastAsia="Times New Roman" w:hAnsi="Arial" w:cs="Arial"/>
                <w:b/>
                <w:bCs/>
                <w:color w:val="404040"/>
                <w:sz w:val="18"/>
                <w:szCs w:val="18"/>
                <w:lang w:val="pt-PT" w:eastAsia="pl-PL"/>
              </w:rPr>
              <w:t xml:space="preserve">EBITDA </w:t>
            </w:r>
            <w:r>
              <w:rPr>
                <w:rFonts w:ascii="Arial" w:eastAsia="Times New Roman" w:hAnsi="Arial" w:cs="Arial"/>
                <w:b/>
                <w:bCs/>
                <w:color w:val="404040"/>
                <w:sz w:val="18"/>
                <w:szCs w:val="18"/>
                <w:lang w:val="pt-PT" w:eastAsia="pl-PL"/>
              </w:rPr>
              <w:t>Ajustada</w:t>
            </w:r>
          </w:p>
        </w:tc>
        <w:tc>
          <w:tcPr>
            <w:tcW w:w="1740" w:type="dxa"/>
            <w:tcBorders>
              <w:top w:val="nil"/>
              <w:left w:val="nil"/>
              <w:bottom w:val="nil"/>
              <w:right w:val="nil"/>
            </w:tcBorders>
            <w:shd w:val="clear" w:color="auto" w:fill="D9D9D9" w:themeFill="background1" w:themeFillShade="D9"/>
            <w:noWrap/>
            <w:vAlign w:val="center"/>
            <w:hideMark/>
          </w:tcPr>
          <w:p w14:paraId="34A7D3AF"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35.3%</w:t>
            </w:r>
          </w:p>
        </w:tc>
        <w:tc>
          <w:tcPr>
            <w:tcW w:w="1680" w:type="dxa"/>
            <w:tcBorders>
              <w:top w:val="nil"/>
              <w:left w:val="nil"/>
              <w:bottom w:val="nil"/>
              <w:right w:val="nil"/>
            </w:tcBorders>
            <w:shd w:val="clear" w:color="auto" w:fill="D9D9D9" w:themeFill="background1" w:themeFillShade="D9"/>
            <w:noWrap/>
            <w:vAlign w:val="center"/>
            <w:hideMark/>
          </w:tcPr>
          <w:p w14:paraId="2570B8EB"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39.3%</w:t>
            </w:r>
          </w:p>
        </w:tc>
        <w:tc>
          <w:tcPr>
            <w:tcW w:w="1500" w:type="dxa"/>
            <w:tcBorders>
              <w:top w:val="nil"/>
              <w:left w:val="nil"/>
              <w:bottom w:val="nil"/>
              <w:right w:val="nil"/>
            </w:tcBorders>
            <w:shd w:val="clear" w:color="auto" w:fill="D9D9D9" w:themeFill="background1" w:themeFillShade="D9"/>
            <w:noWrap/>
            <w:vAlign w:val="center"/>
            <w:hideMark/>
          </w:tcPr>
          <w:p w14:paraId="7072C8C3"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-400bps</w:t>
            </w:r>
          </w:p>
        </w:tc>
      </w:tr>
      <w:tr w:rsidR="000530F5" w:rsidRPr="00781F53" w14:paraId="7FB31CF8"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7E6B6BB0"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Non-recurring</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items</w:t>
            </w:r>
            <w:proofErr w:type="spellEnd"/>
          </w:p>
        </w:tc>
        <w:tc>
          <w:tcPr>
            <w:tcW w:w="1740" w:type="dxa"/>
            <w:tcBorders>
              <w:top w:val="nil"/>
              <w:left w:val="nil"/>
              <w:bottom w:val="nil"/>
              <w:right w:val="nil"/>
            </w:tcBorders>
            <w:shd w:val="clear" w:color="auto" w:fill="FFFFFF" w:themeFill="background1"/>
            <w:noWrap/>
            <w:vAlign w:val="center"/>
            <w:hideMark/>
          </w:tcPr>
          <w:p w14:paraId="7A0F31CD"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(190.3)</w:t>
            </w:r>
          </w:p>
        </w:tc>
        <w:tc>
          <w:tcPr>
            <w:tcW w:w="1680" w:type="dxa"/>
            <w:tcBorders>
              <w:top w:val="nil"/>
              <w:left w:val="nil"/>
              <w:bottom w:val="nil"/>
              <w:right w:val="nil"/>
            </w:tcBorders>
            <w:shd w:val="clear" w:color="auto" w:fill="FFFFFF" w:themeFill="background1"/>
            <w:noWrap/>
            <w:vAlign w:val="center"/>
            <w:hideMark/>
          </w:tcPr>
          <w:p w14:paraId="33F670D9"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(10.1)</w:t>
            </w:r>
          </w:p>
        </w:tc>
        <w:tc>
          <w:tcPr>
            <w:tcW w:w="1500" w:type="dxa"/>
            <w:tcBorders>
              <w:top w:val="nil"/>
              <w:left w:val="nil"/>
              <w:bottom w:val="nil"/>
              <w:right w:val="nil"/>
            </w:tcBorders>
            <w:shd w:val="clear" w:color="auto" w:fill="FFFFFF" w:themeFill="background1"/>
            <w:noWrap/>
            <w:vAlign w:val="center"/>
            <w:hideMark/>
          </w:tcPr>
          <w:p w14:paraId="1053F38D"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1784%</w:t>
            </w:r>
          </w:p>
        </w:tc>
      </w:tr>
      <w:tr w:rsidR="000530F5" w:rsidRPr="00781F53" w14:paraId="3744CF55"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156B5181" w14:textId="01EEF897" w:rsidR="000530F5" w:rsidRPr="00781F53" w:rsidRDefault="000530F5"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EBITDA</w:t>
            </w:r>
            <w:r w:rsidR="00E91000">
              <w:rPr>
                <w:rFonts w:ascii="Arial" w:eastAsia="Times New Roman" w:hAnsi="Arial" w:cs="Arial"/>
                <w:b/>
                <w:bCs/>
                <w:color w:val="404040"/>
                <w:sz w:val="18"/>
                <w:szCs w:val="18"/>
                <w:lang w:val="pt-PT" w:eastAsia="pl-PL"/>
              </w:rPr>
              <w:t xml:space="preserve"> Operacional</w:t>
            </w:r>
          </w:p>
        </w:tc>
        <w:tc>
          <w:tcPr>
            <w:tcW w:w="1740" w:type="dxa"/>
            <w:tcBorders>
              <w:top w:val="nil"/>
              <w:left w:val="nil"/>
              <w:bottom w:val="nil"/>
              <w:right w:val="nil"/>
            </w:tcBorders>
            <w:shd w:val="clear" w:color="auto" w:fill="D9D9D9" w:themeFill="background1" w:themeFillShade="D9"/>
            <w:noWrap/>
            <w:vAlign w:val="center"/>
            <w:hideMark/>
          </w:tcPr>
          <w:p w14:paraId="51227BA2"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1,436.1</w:t>
            </w:r>
          </w:p>
        </w:tc>
        <w:tc>
          <w:tcPr>
            <w:tcW w:w="1680" w:type="dxa"/>
            <w:tcBorders>
              <w:top w:val="nil"/>
              <w:left w:val="nil"/>
              <w:bottom w:val="nil"/>
              <w:right w:val="nil"/>
            </w:tcBorders>
            <w:shd w:val="clear" w:color="auto" w:fill="D9D9D9" w:themeFill="background1" w:themeFillShade="D9"/>
            <w:noWrap/>
            <w:vAlign w:val="center"/>
            <w:hideMark/>
          </w:tcPr>
          <w:p w14:paraId="32EDD16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983.6</w:t>
            </w:r>
          </w:p>
        </w:tc>
        <w:tc>
          <w:tcPr>
            <w:tcW w:w="1500" w:type="dxa"/>
            <w:tcBorders>
              <w:top w:val="nil"/>
              <w:left w:val="nil"/>
              <w:bottom w:val="nil"/>
              <w:right w:val="nil"/>
            </w:tcBorders>
            <w:shd w:val="clear" w:color="auto" w:fill="D9D9D9" w:themeFill="background1" w:themeFillShade="D9"/>
            <w:noWrap/>
            <w:vAlign w:val="center"/>
            <w:hideMark/>
          </w:tcPr>
          <w:p w14:paraId="6887A7FF"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46.0%</w:t>
            </w:r>
          </w:p>
        </w:tc>
      </w:tr>
      <w:tr w:rsidR="000530F5" w:rsidRPr="00781F53" w14:paraId="5A725F28"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65D2C6B8" w14:textId="617D7BA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D&amp;A</w:t>
            </w:r>
          </w:p>
        </w:tc>
        <w:tc>
          <w:tcPr>
            <w:tcW w:w="1740" w:type="dxa"/>
            <w:tcBorders>
              <w:top w:val="nil"/>
              <w:left w:val="nil"/>
              <w:bottom w:val="nil"/>
              <w:right w:val="nil"/>
            </w:tcBorders>
            <w:shd w:val="clear" w:color="auto" w:fill="FFFFFF" w:themeFill="background1"/>
            <w:noWrap/>
            <w:vAlign w:val="center"/>
            <w:hideMark/>
          </w:tcPr>
          <w:p w14:paraId="621E6EB0"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(609.7)</w:t>
            </w:r>
          </w:p>
        </w:tc>
        <w:tc>
          <w:tcPr>
            <w:tcW w:w="1680" w:type="dxa"/>
            <w:tcBorders>
              <w:top w:val="nil"/>
              <w:left w:val="nil"/>
              <w:bottom w:val="nil"/>
              <w:right w:val="nil"/>
            </w:tcBorders>
            <w:shd w:val="clear" w:color="auto" w:fill="FFFFFF" w:themeFill="background1"/>
            <w:noWrap/>
            <w:vAlign w:val="center"/>
            <w:hideMark/>
          </w:tcPr>
          <w:p w14:paraId="44893AB7"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(356.1)</w:t>
            </w:r>
          </w:p>
        </w:tc>
        <w:tc>
          <w:tcPr>
            <w:tcW w:w="1500" w:type="dxa"/>
            <w:tcBorders>
              <w:top w:val="nil"/>
              <w:left w:val="nil"/>
              <w:bottom w:val="nil"/>
              <w:right w:val="nil"/>
            </w:tcBorders>
            <w:shd w:val="clear" w:color="auto" w:fill="FFFFFF" w:themeFill="background1"/>
            <w:noWrap/>
            <w:vAlign w:val="center"/>
            <w:hideMark/>
          </w:tcPr>
          <w:p w14:paraId="5F9E6415"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71.2%</w:t>
            </w:r>
          </w:p>
        </w:tc>
      </w:tr>
      <w:tr w:rsidR="000530F5" w:rsidRPr="00781F53" w14:paraId="4EA68A65"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70B96017" w14:textId="1F89A9B0" w:rsidR="000530F5" w:rsidRPr="00781F53" w:rsidRDefault="000530F5"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w:t>
            </w:r>
          </w:p>
        </w:tc>
        <w:tc>
          <w:tcPr>
            <w:tcW w:w="1740" w:type="dxa"/>
            <w:tcBorders>
              <w:top w:val="nil"/>
              <w:left w:val="nil"/>
              <w:bottom w:val="nil"/>
              <w:right w:val="nil"/>
            </w:tcBorders>
            <w:shd w:val="clear" w:color="auto" w:fill="D9D9D9" w:themeFill="background1" w:themeFillShade="D9"/>
            <w:noWrap/>
            <w:vAlign w:val="center"/>
            <w:hideMark/>
          </w:tcPr>
          <w:p w14:paraId="12A8350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826.4</w:t>
            </w:r>
          </w:p>
        </w:tc>
        <w:tc>
          <w:tcPr>
            <w:tcW w:w="1680" w:type="dxa"/>
            <w:tcBorders>
              <w:top w:val="nil"/>
              <w:left w:val="nil"/>
              <w:bottom w:val="nil"/>
              <w:right w:val="nil"/>
            </w:tcBorders>
            <w:shd w:val="clear" w:color="auto" w:fill="D9D9D9" w:themeFill="background1" w:themeFillShade="D9"/>
            <w:noWrap/>
            <w:vAlign w:val="center"/>
            <w:hideMark/>
          </w:tcPr>
          <w:p w14:paraId="5A077CA6"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627.5</w:t>
            </w:r>
          </w:p>
        </w:tc>
        <w:tc>
          <w:tcPr>
            <w:tcW w:w="1500" w:type="dxa"/>
            <w:tcBorders>
              <w:top w:val="nil"/>
              <w:left w:val="nil"/>
              <w:bottom w:val="nil"/>
              <w:right w:val="nil"/>
            </w:tcBorders>
            <w:shd w:val="clear" w:color="auto" w:fill="D9D9D9" w:themeFill="background1" w:themeFillShade="D9"/>
            <w:noWrap/>
            <w:vAlign w:val="center"/>
            <w:hideMark/>
          </w:tcPr>
          <w:p w14:paraId="6C45D919"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31.7%</w:t>
            </w:r>
          </w:p>
        </w:tc>
      </w:tr>
      <w:tr w:rsidR="000530F5" w:rsidRPr="00781F53" w14:paraId="06FD304F"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66181756"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Net financial </w:t>
            </w:r>
            <w:proofErr w:type="spellStart"/>
            <w:r w:rsidRPr="00781F53">
              <w:rPr>
                <w:rFonts w:ascii="Arial" w:eastAsia="Times New Roman" w:hAnsi="Arial" w:cs="Arial"/>
                <w:color w:val="404040"/>
                <w:sz w:val="16"/>
                <w:szCs w:val="16"/>
                <w:lang w:val="pt-PT" w:eastAsia="pl-PL"/>
              </w:rPr>
              <w:t>cost</w:t>
            </w:r>
            <w:proofErr w:type="spellEnd"/>
          </w:p>
        </w:tc>
        <w:tc>
          <w:tcPr>
            <w:tcW w:w="1740" w:type="dxa"/>
            <w:tcBorders>
              <w:top w:val="nil"/>
              <w:left w:val="nil"/>
              <w:bottom w:val="nil"/>
              <w:right w:val="nil"/>
            </w:tcBorders>
            <w:shd w:val="clear" w:color="auto" w:fill="FFFFFF" w:themeFill="background1"/>
            <w:noWrap/>
            <w:vAlign w:val="center"/>
            <w:hideMark/>
          </w:tcPr>
          <w:p w14:paraId="4544257E"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(113.6)</w:t>
            </w:r>
          </w:p>
        </w:tc>
        <w:tc>
          <w:tcPr>
            <w:tcW w:w="1680" w:type="dxa"/>
            <w:tcBorders>
              <w:top w:val="nil"/>
              <w:left w:val="nil"/>
              <w:bottom w:val="nil"/>
              <w:right w:val="nil"/>
            </w:tcBorders>
            <w:shd w:val="clear" w:color="auto" w:fill="FFFFFF" w:themeFill="background1"/>
            <w:noWrap/>
            <w:vAlign w:val="center"/>
            <w:hideMark/>
          </w:tcPr>
          <w:p w14:paraId="625F3826" w14:textId="727E034F"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(164.4)</w:t>
            </w:r>
          </w:p>
        </w:tc>
        <w:tc>
          <w:tcPr>
            <w:tcW w:w="1500" w:type="dxa"/>
            <w:tcBorders>
              <w:top w:val="nil"/>
              <w:left w:val="nil"/>
              <w:bottom w:val="nil"/>
              <w:right w:val="nil"/>
            </w:tcBorders>
            <w:shd w:val="clear" w:color="auto" w:fill="FFFFFF" w:themeFill="background1"/>
            <w:noWrap/>
            <w:vAlign w:val="center"/>
            <w:hideMark/>
          </w:tcPr>
          <w:p w14:paraId="79FA00CA" w14:textId="7CD833D8"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(30.9%)</w:t>
            </w:r>
          </w:p>
        </w:tc>
      </w:tr>
      <w:tr w:rsidR="000530F5" w:rsidRPr="00781F53" w14:paraId="6C1226CF"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3A3301F8" w14:textId="1A9CFA55" w:rsidR="000530F5" w:rsidRPr="00781F53" w:rsidRDefault="00E91000"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Lucros antes de impostos</w:t>
            </w:r>
          </w:p>
        </w:tc>
        <w:tc>
          <w:tcPr>
            <w:tcW w:w="1740" w:type="dxa"/>
            <w:tcBorders>
              <w:top w:val="nil"/>
              <w:left w:val="nil"/>
              <w:bottom w:val="nil"/>
              <w:right w:val="nil"/>
            </w:tcBorders>
            <w:shd w:val="clear" w:color="auto" w:fill="D9D9D9" w:themeFill="background1" w:themeFillShade="D9"/>
            <w:noWrap/>
            <w:vAlign w:val="center"/>
            <w:hideMark/>
          </w:tcPr>
          <w:p w14:paraId="51DF5492"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712.8</w:t>
            </w:r>
          </w:p>
        </w:tc>
        <w:tc>
          <w:tcPr>
            <w:tcW w:w="1680" w:type="dxa"/>
            <w:tcBorders>
              <w:top w:val="nil"/>
              <w:left w:val="nil"/>
              <w:bottom w:val="nil"/>
              <w:right w:val="nil"/>
            </w:tcBorders>
            <w:shd w:val="clear" w:color="auto" w:fill="D9D9D9" w:themeFill="background1" w:themeFillShade="D9"/>
            <w:noWrap/>
            <w:vAlign w:val="center"/>
            <w:hideMark/>
          </w:tcPr>
          <w:p w14:paraId="7FBC37D5" w14:textId="33BD5F59"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themeColor="text1" w:themeTint="BF"/>
                <w:sz w:val="18"/>
                <w:szCs w:val="18"/>
                <w:lang w:val="pt-PT" w:eastAsia="pl-PL"/>
              </w:rPr>
              <w:t>463.1</w:t>
            </w:r>
          </w:p>
        </w:tc>
        <w:tc>
          <w:tcPr>
            <w:tcW w:w="1500" w:type="dxa"/>
            <w:tcBorders>
              <w:top w:val="nil"/>
              <w:left w:val="nil"/>
              <w:bottom w:val="nil"/>
              <w:right w:val="nil"/>
            </w:tcBorders>
            <w:shd w:val="clear" w:color="auto" w:fill="D9D9D9" w:themeFill="background1" w:themeFillShade="D9"/>
            <w:noWrap/>
            <w:vAlign w:val="center"/>
            <w:hideMark/>
          </w:tcPr>
          <w:p w14:paraId="72B6DB90" w14:textId="1591386D"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themeColor="text1" w:themeTint="BF"/>
                <w:sz w:val="18"/>
                <w:szCs w:val="18"/>
                <w:lang w:val="pt-PT" w:eastAsia="pl-PL"/>
              </w:rPr>
              <w:t>53.9%</w:t>
            </w:r>
          </w:p>
        </w:tc>
      </w:tr>
      <w:tr w:rsidR="000530F5" w:rsidRPr="00781F53" w14:paraId="5F746DA9" w14:textId="77777777" w:rsidTr="00627B6B">
        <w:trPr>
          <w:trHeight w:val="300"/>
        </w:trPr>
        <w:tc>
          <w:tcPr>
            <w:tcW w:w="5080" w:type="dxa"/>
            <w:tcBorders>
              <w:top w:val="nil"/>
              <w:left w:val="nil"/>
              <w:bottom w:val="nil"/>
              <w:right w:val="nil"/>
            </w:tcBorders>
            <w:shd w:val="clear" w:color="auto" w:fill="FFFFFF" w:themeFill="background1"/>
            <w:noWrap/>
            <w:vAlign w:val="center"/>
            <w:hideMark/>
          </w:tcPr>
          <w:p w14:paraId="0F67CB03"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Income</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tax</w:t>
            </w:r>
            <w:proofErr w:type="spellEnd"/>
          </w:p>
        </w:tc>
        <w:tc>
          <w:tcPr>
            <w:tcW w:w="1740" w:type="dxa"/>
            <w:tcBorders>
              <w:top w:val="nil"/>
              <w:left w:val="nil"/>
              <w:bottom w:val="nil"/>
              <w:right w:val="nil"/>
            </w:tcBorders>
            <w:shd w:val="clear" w:color="auto" w:fill="FFFFFF" w:themeFill="background1"/>
            <w:noWrap/>
            <w:vAlign w:val="center"/>
            <w:hideMark/>
          </w:tcPr>
          <w:p w14:paraId="1BE3F6A7"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(221.5)</w:t>
            </w:r>
          </w:p>
        </w:tc>
        <w:tc>
          <w:tcPr>
            <w:tcW w:w="1680" w:type="dxa"/>
            <w:tcBorders>
              <w:top w:val="nil"/>
              <w:left w:val="nil"/>
              <w:bottom w:val="nil"/>
              <w:right w:val="nil"/>
            </w:tcBorders>
            <w:shd w:val="clear" w:color="auto" w:fill="FFFFFF" w:themeFill="background1"/>
            <w:noWrap/>
            <w:vAlign w:val="center"/>
            <w:hideMark/>
          </w:tcPr>
          <w:p w14:paraId="137A1FDD" w14:textId="1BCDD676"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(111.6)</w:t>
            </w:r>
          </w:p>
        </w:tc>
        <w:tc>
          <w:tcPr>
            <w:tcW w:w="1500" w:type="dxa"/>
            <w:tcBorders>
              <w:top w:val="nil"/>
              <w:left w:val="nil"/>
              <w:bottom w:val="nil"/>
              <w:right w:val="nil"/>
            </w:tcBorders>
            <w:shd w:val="clear" w:color="auto" w:fill="FFFFFF" w:themeFill="background1"/>
            <w:noWrap/>
            <w:vAlign w:val="center"/>
            <w:hideMark/>
          </w:tcPr>
          <w:p w14:paraId="4F2527CB" w14:textId="0C22C1B9"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98.5%</w:t>
            </w:r>
          </w:p>
        </w:tc>
      </w:tr>
      <w:tr w:rsidR="000530F5" w:rsidRPr="00781F53" w14:paraId="53362685" w14:textId="77777777" w:rsidTr="00627B6B">
        <w:trPr>
          <w:trHeight w:val="300"/>
        </w:trPr>
        <w:tc>
          <w:tcPr>
            <w:tcW w:w="5080" w:type="dxa"/>
            <w:tcBorders>
              <w:top w:val="nil"/>
              <w:left w:val="nil"/>
              <w:bottom w:val="nil"/>
              <w:right w:val="nil"/>
            </w:tcBorders>
            <w:shd w:val="clear" w:color="auto" w:fill="D9D9D9" w:themeFill="background1" w:themeFillShade="D9"/>
            <w:noWrap/>
            <w:vAlign w:val="center"/>
            <w:hideMark/>
          </w:tcPr>
          <w:p w14:paraId="109FE136" w14:textId="117C4C87" w:rsidR="000530F5" w:rsidRPr="00781F53" w:rsidRDefault="00E91000" w:rsidP="00E91000">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themeColor="text1" w:themeTint="BF"/>
                <w:sz w:val="18"/>
                <w:szCs w:val="18"/>
                <w:lang w:val="pt-PT" w:eastAsia="pl-PL"/>
              </w:rPr>
              <w:t>Lucro líquido das operações continuadas</w:t>
            </w:r>
          </w:p>
        </w:tc>
        <w:tc>
          <w:tcPr>
            <w:tcW w:w="1740" w:type="dxa"/>
            <w:tcBorders>
              <w:top w:val="nil"/>
              <w:left w:val="nil"/>
              <w:bottom w:val="nil"/>
              <w:right w:val="nil"/>
            </w:tcBorders>
            <w:shd w:val="clear" w:color="auto" w:fill="D9D9D9" w:themeFill="background1" w:themeFillShade="D9"/>
            <w:noWrap/>
            <w:vAlign w:val="center"/>
            <w:hideMark/>
          </w:tcPr>
          <w:p w14:paraId="608F8EE9"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491.3</w:t>
            </w:r>
          </w:p>
        </w:tc>
        <w:tc>
          <w:tcPr>
            <w:tcW w:w="1680" w:type="dxa"/>
            <w:tcBorders>
              <w:top w:val="nil"/>
              <w:left w:val="nil"/>
              <w:bottom w:val="nil"/>
              <w:right w:val="nil"/>
            </w:tcBorders>
            <w:shd w:val="clear" w:color="auto" w:fill="D9D9D9" w:themeFill="background1" w:themeFillShade="D9"/>
            <w:noWrap/>
            <w:vAlign w:val="center"/>
            <w:hideMark/>
          </w:tcPr>
          <w:p w14:paraId="7E6A669E" w14:textId="07B1294C"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themeColor="text1" w:themeTint="BF"/>
                <w:sz w:val="18"/>
                <w:szCs w:val="18"/>
                <w:lang w:val="pt-PT" w:eastAsia="pl-PL"/>
              </w:rPr>
              <w:t>351</w:t>
            </w:r>
            <w:r w:rsidRPr="00781F53">
              <w:rPr>
                <w:rFonts w:ascii="Arial" w:eastAsia="Times New Roman" w:hAnsi="Arial" w:cs="Arial"/>
                <w:b/>
                <w:color w:val="404040" w:themeColor="text1" w:themeTint="BF"/>
                <w:sz w:val="18"/>
                <w:szCs w:val="18"/>
                <w:lang w:val="pt-PT" w:eastAsia="pl-PL"/>
              </w:rPr>
              <w:t>.5</w:t>
            </w:r>
          </w:p>
        </w:tc>
        <w:tc>
          <w:tcPr>
            <w:tcW w:w="1500" w:type="dxa"/>
            <w:tcBorders>
              <w:top w:val="nil"/>
              <w:left w:val="nil"/>
              <w:bottom w:val="nil"/>
              <w:right w:val="nil"/>
            </w:tcBorders>
            <w:shd w:val="clear" w:color="auto" w:fill="D9D9D9" w:themeFill="background1" w:themeFillShade="D9"/>
            <w:noWrap/>
            <w:vAlign w:val="center"/>
            <w:hideMark/>
          </w:tcPr>
          <w:p w14:paraId="52EFC3C4" w14:textId="5BE67BC1"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themeColor="text1" w:themeTint="BF"/>
                <w:sz w:val="18"/>
                <w:szCs w:val="18"/>
                <w:lang w:val="pt-PT" w:eastAsia="pl-PL"/>
              </w:rPr>
              <w:t>39.8%</w:t>
            </w:r>
          </w:p>
        </w:tc>
      </w:tr>
      <w:tr w:rsidR="000530F5" w:rsidRPr="00781F53" w14:paraId="24814B1F" w14:textId="77777777" w:rsidTr="00627B6B">
        <w:trPr>
          <w:trHeight w:val="315"/>
        </w:trPr>
        <w:tc>
          <w:tcPr>
            <w:tcW w:w="5080" w:type="dxa"/>
            <w:tcBorders>
              <w:top w:val="nil"/>
              <w:left w:val="nil"/>
              <w:bottom w:val="nil"/>
              <w:right w:val="nil"/>
            </w:tcBorders>
            <w:shd w:val="clear" w:color="auto" w:fill="FFFFFF" w:themeFill="background1"/>
            <w:noWrap/>
            <w:vAlign w:val="center"/>
            <w:hideMark/>
          </w:tcPr>
          <w:p w14:paraId="5F70A0DE"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Earnings</w:t>
            </w:r>
            <w:proofErr w:type="spellEnd"/>
            <w:r w:rsidRPr="00781F53">
              <w:rPr>
                <w:rFonts w:ascii="Arial" w:eastAsia="Times New Roman" w:hAnsi="Arial" w:cs="Arial"/>
                <w:color w:val="404040"/>
                <w:sz w:val="16"/>
                <w:szCs w:val="16"/>
                <w:lang w:val="pt-PT" w:eastAsia="pl-PL"/>
              </w:rPr>
              <w:t xml:space="preserve"> per share</w:t>
            </w:r>
          </w:p>
        </w:tc>
        <w:tc>
          <w:tcPr>
            <w:tcW w:w="1740" w:type="dxa"/>
            <w:tcBorders>
              <w:top w:val="nil"/>
              <w:left w:val="nil"/>
              <w:bottom w:val="nil"/>
              <w:right w:val="nil"/>
            </w:tcBorders>
            <w:shd w:val="clear" w:color="auto" w:fill="FFFFFF" w:themeFill="background1"/>
            <w:noWrap/>
            <w:vAlign w:val="center"/>
            <w:hideMark/>
          </w:tcPr>
          <w:p w14:paraId="7ED85BB5"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0.98</w:t>
            </w:r>
          </w:p>
        </w:tc>
        <w:tc>
          <w:tcPr>
            <w:tcW w:w="1680" w:type="dxa"/>
            <w:tcBorders>
              <w:top w:val="nil"/>
              <w:left w:val="nil"/>
              <w:bottom w:val="nil"/>
              <w:right w:val="nil"/>
            </w:tcBorders>
            <w:shd w:val="clear" w:color="auto" w:fill="FFFFFF" w:themeFill="background1"/>
            <w:noWrap/>
            <w:vAlign w:val="center"/>
            <w:hideMark/>
          </w:tcPr>
          <w:p w14:paraId="4D4320A5" w14:textId="74E40CBA"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0.69</w:t>
            </w:r>
          </w:p>
        </w:tc>
        <w:tc>
          <w:tcPr>
            <w:tcW w:w="1500" w:type="dxa"/>
            <w:tcBorders>
              <w:top w:val="nil"/>
              <w:left w:val="nil"/>
              <w:bottom w:val="nil"/>
              <w:right w:val="nil"/>
            </w:tcBorders>
            <w:shd w:val="clear" w:color="auto" w:fill="FFFFFF" w:themeFill="background1"/>
            <w:noWrap/>
            <w:vAlign w:val="center"/>
            <w:hideMark/>
          </w:tcPr>
          <w:p w14:paraId="23483761"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6"/>
                <w:szCs w:val="16"/>
                <w:lang w:val="pt-PT" w:eastAsia="pl-PL"/>
              </w:rPr>
            </w:pPr>
          </w:p>
        </w:tc>
      </w:tr>
    </w:tbl>
    <w:p w14:paraId="7AF802D6" w14:textId="67BF2427" w:rsidR="00424324" w:rsidRPr="00781F53" w:rsidRDefault="00424324" w:rsidP="00781F53">
      <w:pPr>
        <w:widowControl/>
        <w:autoSpaceDE/>
        <w:autoSpaceDN/>
        <w:spacing w:after="160" w:line="276" w:lineRule="auto"/>
        <w:rPr>
          <w:rFonts w:ascii="Arial" w:hAnsi="Arial" w:cs="Arial"/>
          <w:b/>
          <w:bCs/>
          <w:color w:val="404040"/>
          <w:lang w:val="pt-PT"/>
        </w:rPr>
      </w:pPr>
    </w:p>
    <w:p w14:paraId="1C4CF465" w14:textId="4CC0151F" w:rsidR="000530F5" w:rsidRPr="00781F53" w:rsidRDefault="00E91000" w:rsidP="00781F53">
      <w:pPr>
        <w:spacing w:before="120" w:after="120" w:line="276" w:lineRule="auto"/>
        <w:ind w:left="-714"/>
        <w:rPr>
          <w:rFonts w:ascii="Arial" w:hAnsi="Arial" w:cs="Arial"/>
          <w:b/>
          <w:bCs/>
          <w:color w:val="404040"/>
          <w:lang w:val="pt-PT"/>
        </w:rPr>
      </w:pPr>
      <w:r>
        <w:rPr>
          <w:rFonts w:ascii="Arial" w:hAnsi="Arial" w:cs="Arial"/>
          <w:b/>
          <w:bCs/>
          <w:color w:val="404040"/>
          <w:lang w:val="pt-PT"/>
        </w:rPr>
        <w:br/>
        <w:t xml:space="preserve">DESAQUES FINANCEIROS </w:t>
      </w:r>
      <w:r w:rsidR="000530F5" w:rsidRPr="00781F53">
        <w:rPr>
          <w:rFonts w:ascii="Arial" w:hAnsi="Arial" w:cs="Arial"/>
          <w:b/>
          <w:bCs/>
          <w:color w:val="404040"/>
          <w:lang w:val="pt-PT"/>
        </w:rPr>
        <w:t>4</w:t>
      </w:r>
      <w:r>
        <w:rPr>
          <w:rFonts w:ascii="Arial" w:hAnsi="Arial" w:cs="Arial"/>
          <w:b/>
          <w:bCs/>
          <w:color w:val="404040"/>
          <w:lang w:val="pt-PT"/>
        </w:rPr>
        <w:t>T</w:t>
      </w:r>
      <w:r w:rsidR="000530F5" w:rsidRPr="00781F53">
        <w:rPr>
          <w:rFonts w:ascii="Arial" w:hAnsi="Arial" w:cs="Arial"/>
          <w:b/>
          <w:bCs/>
          <w:color w:val="404040"/>
          <w:lang w:val="pt-PT"/>
        </w:rPr>
        <w:t xml:space="preserve"> 2021 </w:t>
      </w:r>
    </w:p>
    <w:p w14:paraId="7113FAD0" w14:textId="77777777" w:rsidR="00CE233D" w:rsidRPr="00781F53" w:rsidRDefault="00CE233D" w:rsidP="00781F53">
      <w:pPr>
        <w:spacing w:before="120" w:after="120" w:line="276" w:lineRule="auto"/>
        <w:ind w:left="-714"/>
        <w:rPr>
          <w:rFonts w:ascii="Arial" w:hAnsi="Arial" w:cs="Arial"/>
          <w:b/>
          <w:bCs/>
          <w:color w:val="404040"/>
          <w:lang w:val="pt-PT"/>
        </w:rPr>
      </w:pPr>
    </w:p>
    <w:tbl>
      <w:tblPr>
        <w:tblpPr w:leftFromText="141" w:rightFromText="141" w:vertAnchor="text" w:horzAnchor="page" w:tblpX="706" w:tblpY="39"/>
        <w:tblW w:w="10000" w:type="dxa"/>
        <w:tblCellMar>
          <w:left w:w="70" w:type="dxa"/>
          <w:right w:w="70" w:type="dxa"/>
        </w:tblCellMar>
        <w:tblLook w:val="04A0" w:firstRow="1" w:lastRow="0" w:firstColumn="1" w:lastColumn="0" w:noHBand="0" w:noVBand="1"/>
      </w:tblPr>
      <w:tblGrid>
        <w:gridCol w:w="5080"/>
        <w:gridCol w:w="1740"/>
        <w:gridCol w:w="1680"/>
        <w:gridCol w:w="1500"/>
      </w:tblGrid>
      <w:tr w:rsidR="000530F5" w:rsidRPr="00781F53" w14:paraId="73C907B0" w14:textId="77777777" w:rsidTr="38F357BA">
        <w:trPr>
          <w:trHeight w:val="315"/>
        </w:trPr>
        <w:tc>
          <w:tcPr>
            <w:tcW w:w="5080" w:type="dxa"/>
            <w:tcBorders>
              <w:top w:val="nil"/>
              <w:left w:val="nil"/>
              <w:bottom w:val="nil"/>
              <w:right w:val="nil"/>
            </w:tcBorders>
            <w:shd w:val="clear" w:color="auto" w:fill="FFCB04"/>
            <w:vAlign w:val="center"/>
            <w:hideMark/>
          </w:tcPr>
          <w:p w14:paraId="4F487A51" w14:textId="1E83CC6A" w:rsidR="000530F5" w:rsidRPr="00781F53" w:rsidRDefault="00E91000" w:rsidP="00781F53">
            <w:pPr>
              <w:widowControl/>
              <w:autoSpaceDE/>
              <w:autoSpaceDN/>
              <w:spacing w:line="276" w:lineRule="auto"/>
              <w:rPr>
                <w:rFonts w:ascii="Arial" w:eastAsia="Times New Roman" w:hAnsi="Arial" w:cs="Arial"/>
                <w:b/>
                <w:bCs/>
                <w:color w:val="404040"/>
                <w:sz w:val="14"/>
                <w:szCs w:val="14"/>
                <w:lang w:val="pt-PT" w:eastAsia="pl-PL"/>
              </w:rPr>
            </w:pPr>
            <w:r>
              <w:rPr>
                <w:rFonts w:ascii="Arial" w:eastAsia="Times New Roman" w:hAnsi="Arial" w:cs="Arial"/>
                <w:b/>
                <w:bCs/>
                <w:color w:val="404040"/>
                <w:sz w:val="14"/>
                <w:szCs w:val="14"/>
                <w:lang w:val="pt-PT" w:eastAsia="pl-PL"/>
              </w:rPr>
              <w:t xml:space="preserve">Milhões de zloty </w:t>
            </w:r>
            <w:proofErr w:type="gramStart"/>
            <w:r w:rsidRPr="00E91000">
              <w:rPr>
                <w:rFonts w:ascii="Arial" w:eastAsia="Times New Roman" w:hAnsi="Arial" w:cs="Arial"/>
                <w:b/>
                <w:bCs/>
                <w:color w:val="404040"/>
                <w:sz w:val="14"/>
                <w:szCs w:val="14"/>
                <w:lang w:val="pt-PT" w:eastAsia="pl-PL"/>
              </w:rPr>
              <w:t>salvo</w:t>
            </w:r>
            <w:proofErr w:type="gramEnd"/>
            <w:r w:rsidRPr="00E91000">
              <w:rPr>
                <w:rFonts w:ascii="Arial" w:eastAsia="Times New Roman" w:hAnsi="Arial" w:cs="Arial"/>
                <w:b/>
                <w:bCs/>
                <w:color w:val="404040"/>
                <w:sz w:val="14"/>
                <w:szCs w:val="14"/>
                <w:lang w:val="pt-PT" w:eastAsia="pl-PL"/>
              </w:rPr>
              <w:t xml:space="preserve"> indicação em contrário</w:t>
            </w:r>
          </w:p>
        </w:tc>
        <w:tc>
          <w:tcPr>
            <w:tcW w:w="1740" w:type="dxa"/>
            <w:tcBorders>
              <w:top w:val="nil"/>
              <w:left w:val="nil"/>
              <w:bottom w:val="nil"/>
              <w:right w:val="nil"/>
            </w:tcBorders>
            <w:shd w:val="clear" w:color="auto" w:fill="FFCB04"/>
            <w:vAlign w:val="center"/>
            <w:hideMark/>
          </w:tcPr>
          <w:p w14:paraId="2A895509"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r w:rsidRPr="00781F53">
              <w:rPr>
                <w:rFonts w:ascii="Arial" w:eastAsia="Times New Roman" w:hAnsi="Arial" w:cs="Arial"/>
                <w:b/>
                <w:bCs/>
                <w:color w:val="404040"/>
                <w:sz w:val="14"/>
                <w:szCs w:val="14"/>
                <w:lang w:val="pt-PT" w:eastAsia="pl-PL"/>
              </w:rPr>
              <w:t>Q4 2021</w:t>
            </w:r>
          </w:p>
        </w:tc>
        <w:tc>
          <w:tcPr>
            <w:tcW w:w="1680" w:type="dxa"/>
            <w:tcBorders>
              <w:top w:val="nil"/>
              <w:left w:val="nil"/>
              <w:bottom w:val="nil"/>
              <w:right w:val="nil"/>
            </w:tcBorders>
            <w:shd w:val="clear" w:color="auto" w:fill="FFCB04"/>
            <w:vAlign w:val="center"/>
            <w:hideMark/>
          </w:tcPr>
          <w:p w14:paraId="71900B6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r w:rsidRPr="00781F53">
              <w:rPr>
                <w:rFonts w:ascii="Arial" w:eastAsia="Times New Roman" w:hAnsi="Arial" w:cs="Arial"/>
                <w:b/>
                <w:bCs/>
                <w:color w:val="404040"/>
                <w:sz w:val="14"/>
                <w:szCs w:val="14"/>
                <w:lang w:val="pt-PT" w:eastAsia="pl-PL"/>
              </w:rPr>
              <w:t>Q4 2020</w:t>
            </w:r>
          </w:p>
        </w:tc>
        <w:tc>
          <w:tcPr>
            <w:tcW w:w="1500" w:type="dxa"/>
            <w:tcBorders>
              <w:top w:val="nil"/>
              <w:left w:val="nil"/>
              <w:bottom w:val="nil"/>
              <w:right w:val="nil"/>
            </w:tcBorders>
            <w:shd w:val="clear" w:color="auto" w:fill="FFCB04"/>
            <w:vAlign w:val="center"/>
            <w:hideMark/>
          </w:tcPr>
          <w:p w14:paraId="3E12D6D9"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4"/>
                <w:szCs w:val="14"/>
                <w:lang w:val="pt-PT" w:eastAsia="pl-PL"/>
              </w:rPr>
            </w:pPr>
            <w:proofErr w:type="spellStart"/>
            <w:r w:rsidRPr="00781F53">
              <w:rPr>
                <w:rFonts w:ascii="Arial" w:eastAsia="Times New Roman" w:hAnsi="Arial" w:cs="Arial"/>
                <w:b/>
                <w:bCs/>
                <w:color w:val="404040"/>
                <w:sz w:val="14"/>
                <w:szCs w:val="14"/>
                <w:lang w:val="pt-PT" w:eastAsia="pl-PL"/>
              </w:rPr>
              <w:t>YoY</w:t>
            </w:r>
            <w:proofErr w:type="spellEnd"/>
            <w:r w:rsidRPr="00781F53">
              <w:rPr>
                <w:rFonts w:ascii="Arial" w:eastAsia="Times New Roman" w:hAnsi="Arial" w:cs="Arial"/>
                <w:b/>
                <w:bCs/>
                <w:color w:val="404040"/>
                <w:sz w:val="14"/>
                <w:szCs w:val="14"/>
                <w:lang w:val="pt-PT" w:eastAsia="pl-PL"/>
              </w:rPr>
              <w:t xml:space="preserve"> </w:t>
            </w:r>
            <w:proofErr w:type="spellStart"/>
            <w:r w:rsidRPr="00781F53">
              <w:rPr>
                <w:rFonts w:ascii="Arial" w:eastAsia="Times New Roman" w:hAnsi="Arial" w:cs="Arial"/>
                <w:b/>
                <w:bCs/>
                <w:color w:val="404040"/>
                <w:sz w:val="14"/>
                <w:szCs w:val="14"/>
                <w:lang w:val="pt-PT" w:eastAsia="pl-PL"/>
              </w:rPr>
              <w:t>growth</w:t>
            </w:r>
            <w:proofErr w:type="spellEnd"/>
          </w:p>
        </w:tc>
      </w:tr>
      <w:tr w:rsidR="000530F5" w:rsidRPr="00781F53" w14:paraId="42B3BB23"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0238E85F" w14:textId="54AB5419" w:rsidR="000530F5" w:rsidRPr="00781F53" w:rsidRDefault="00E91000"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Receitas</w:t>
            </w:r>
          </w:p>
        </w:tc>
        <w:tc>
          <w:tcPr>
            <w:tcW w:w="1740" w:type="dxa"/>
            <w:tcBorders>
              <w:top w:val="nil"/>
              <w:left w:val="nil"/>
              <w:bottom w:val="nil"/>
              <w:right w:val="nil"/>
            </w:tcBorders>
            <w:shd w:val="clear" w:color="auto" w:fill="D9D9D9" w:themeFill="background1" w:themeFillShade="D9"/>
            <w:noWrap/>
            <w:vAlign w:val="center"/>
            <w:hideMark/>
          </w:tcPr>
          <w:p w14:paraId="5C373AAF"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1,677.0</w:t>
            </w:r>
          </w:p>
        </w:tc>
        <w:tc>
          <w:tcPr>
            <w:tcW w:w="1680" w:type="dxa"/>
            <w:tcBorders>
              <w:top w:val="nil"/>
              <w:left w:val="nil"/>
              <w:bottom w:val="nil"/>
              <w:right w:val="nil"/>
            </w:tcBorders>
            <w:shd w:val="clear" w:color="auto" w:fill="D9D9D9" w:themeFill="background1" w:themeFillShade="D9"/>
            <w:noWrap/>
            <w:vAlign w:val="center"/>
            <w:hideMark/>
          </w:tcPr>
          <w:p w14:paraId="4DD331EE"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851.6</w:t>
            </w:r>
          </w:p>
        </w:tc>
        <w:tc>
          <w:tcPr>
            <w:tcW w:w="1500" w:type="dxa"/>
            <w:tcBorders>
              <w:top w:val="nil"/>
              <w:left w:val="nil"/>
              <w:bottom w:val="nil"/>
              <w:right w:val="nil"/>
            </w:tcBorders>
            <w:shd w:val="clear" w:color="auto" w:fill="D9D9D9" w:themeFill="background1" w:themeFillShade="D9"/>
            <w:noWrap/>
            <w:vAlign w:val="center"/>
            <w:hideMark/>
          </w:tcPr>
          <w:p w14:paraId="3A2F4696"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96.9%</w:t>
            </w:r>
          </w:p>
        </w:tc>
      </w:tr>
      <w:tr w:rsidR="000530F5" w:rsidRPr="00781F53" w14:paraId="24EA32C1"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041F14F8"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Poland</w:t>
            </w:r>
            <w:proofErr w:type="spellEnd"/>
          </w:p>
        </w:tc>
        <w:tc>
          <w:tcPr>
            <w:tcW w:w="1740" w:type="dxa"/>
            <w:tcBorders>
              <w:top w:val="nil"/>
              <w:left w:val="nil"/>
              <w:bottom w:val="nil"/>
              <w:right w:val="nil"/>
            </w:tcBorders>
            <w:shd w:val="clear" w:color="auto" w:fill="FFFFFF" w:themeFill="background1"/>
            <w:noWrap/>
            <w:vAlign w:val="center"/>
            <w:hideMark/>
          </w:tcPr>
          <w:p w14:paraId="37742D1C"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1,023.3</w:t>
            </w:r>
          </w:p>
        </w:tc>
        <w:tc>
          <w:tcPr>
            <w:tcW w:w="1680" w:type="dxa"/>
            <w:tcBorders>
              <w:top w:val="nil"/>
              <w:left w:val="nil"/>
              <w:bottom w:val="nil"/>
              <w:right w:val="nil"/>
            </w:tcBorders>
            <w:shd w:val="clear" w:color="auto" w:fill="FFFFFF" w:themeFill="background1"/>
            <w:noWrap/>
            <w:vAlign w:val="center"/>
            <w:hideMark/>
          </w:tcPr>
          <w:p w14:paraId="7EF35BCB"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843.5</w:t>
            </w:r>
          </w:p>
        </w:tc>
        <w:tc>
          <w:tcPr>
            <w:tcW w:w="1500" w:type="dxa"/>
            <w:tcBorders>
              <w:top w:val="nil"/>
              <w:left w:val="nil"/>
              <w:bottom w:val="nil"/>
              <w:right w:val="nil"/>
            </w:tcBorders>
            <w:shd w:val="clear" w:color="auto" w:fill="FFFFFF" w:themeFill="background1"/>
            <w:noWrap/>
            <w:vAlign w:val="center"/>
            <w:hideMark/>
          </w:tcPr>
          <w:p w14:paraId="591565AB"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21.3%</w:t>
            </w:r>
          </w:p>
        </w:tc>
      </w:tr>
      <w:tr w:rsidR="000530F5" w:rsidRPr="00781F53" w14:paraId="14719105"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47A9E397"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International</w:t>
            </w:r>
            <w:proofErr w:type="spellEnd"/>
            <w:r w:rsidRPr="00781F53">
              <w:rPr>
                <w:rFonts w:ascii="Arial" w:eastAsia="Times New Roman" w:hAnsi="Arial" w:cs="Arial"/>
                <w:color w:val="404040"/>
                <w:sz w:val="16"/>
                <w:szCs w:val="16"/>
                <w:lang w:val="pt-PT" w:eastAsia="pl-PL"/>
              </w:rPr>
              <w:t xml:space="preserve"> (UK + IT)</w:t>
            </w:r>
          </w:p>
        </w:tc>
        <w:tc>
          <w:tcPr>
            <w:tcW w:w="1740" w:type="dxa"/>
            <w:tcBorders>
              <w:top w:val="nil"/>
              <w:left w:val="nil"/>
              <w:bottom w:val="nil"/>
              <w:right w:val="nil"/>
            </w:tcBorders>
            <w:shd w:val="clear" w:color="auto" w:fill="FFFFFF" w:themeFill="background1"/>
            <w:noWrap/>
            <w:vAlign w:val="center"/>
            <w:hideMark/>
          </w:tcPr>
          <w:p w14:paraId="5B8CEAA6"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31.6</w:t>
            </w:r>
          </w:p>
        </w:tc>
        <w:tc>
          <w:tcPr>
            <w:tcW w:w="1680" w:type="dxa"/>
            <w:tcBorders>
              <w:top w:val="nil"/>
              <w:left w:val="nil"/>
              <w:bottom w:val="nil"/>
              <w:right w:val="nil"/>
            </w:tcBorders>
            <w:shd w:val="clear" w:color="auto" w:fill="FFFFFF" w:themeFill="background1"/>
            <w:noWrap/>
            <w:vAlign w:val="center"/>
            <w:hideMark/>
          </w:tcPr>
          <w:p w14:paraId="4812D77E"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8.1</w:t>
            </w:r>
          </w:p>
        </w:tc>
        <w:tc>
          <w:tcPr>
            <w:tcW w:w="1500" w:type="dxa"/>
            <w:tcBorders>
              <w:top w:val="nil"/>
              <w:left w:val="nil"/>
              <w:bottom w:val="nil"/>
              <w:right w:val="nil"/>
            </w:tcBorders>
            <w:shd w:val="clear" w:color="auto" w:fill="FFFFFF" w:themeFill="background1"/>
            <w:noWrap/>
            <w:vAlign w:val="center"/>
            <w:hideMark/>
          </w:tcPr>
          <w:p w14:paraId="15E1D9EA"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290.1%</w:t>
            </w:r>
          </w:p>
        </w:tc>
      </w:tr>
      <w:tr w:rsidR="000530F5" w:rsidRPr="00781F53" w14:paraId="10629460"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63D52A55"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Mondial Relay</w:t>
            </w:r>
          </w:p>
        </w:tc>
        <w:tc>
          <w:tcPr>
            <w:tcW w:w="1740" w:type="dxa"/>
            <w:tcBorders>
              <w:top w:val="nil"/>
              <w:left w:val="nil"/>
              <w:bottom w:val="nil"/>
              <w:right w:val="nil"/>
            </w:tcBorders>
            <w:shd w:val="clear" w:color="auto" w:fill="FFFFFF" w:themeFill="background1"/>
            <w:noWrap/>
            <w:vAlign w:val="center"/>
            <w:hideMark/>
          </w:tcPr>
          <w:p w14:paraId="03C5DD98"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622.1</w:t>
            </w:r>
          </w:p>
        </w:tc>
        <w:tc>
          <w:tcPr>
            <w:tcW w:w="1680" w:type="dxa"/>
            <w:tcBorders>
              <w:top w:val="nil"/>
              <w:left w:val="nil"/>
              <w:bottom w:val="nil"/>
              <w:right w:val="nil"/>
            </w:tcBorders>
            <w:shd w:val="clear" w:color="auto" w:fill="FFFFFF" w:themeFill="background1"/>
            <w:noWrap/>
            <w:vAlign w:val="center"/>
            <w:hideMark/>
          </w:tcPr>
          <w:p w14:paraId="58D2B41C" w14:textId="31418121"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c>
          <w:tcPr>
            <w:tcW w:w="1500" w:type="dxa"/>
            <w:tcBorders>
              <w:top w:val="nil"/>
              <w:left w:val="nil"/>
              <w:bottom w:val="nil"/>
              <w:right w:val="nil"/>
            </w:tcBorders>
            <w:shd w:val="clear" w:color="auto" w:fill="FFFFFF" w:themeFill="background1"/>
            <w:noWrap/>
            <w:vAlign w:val="center"/>
            <w:hideMark/>
          </w:tcPr>
          <w:p w14:paraId="2654703D" w14:textId="39039160"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r>
      <w:tr w:rsidR="000530F5" w:rsidRPr="00781F53" w14:paraId="0BE1A901"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30E2F3E7" w14:textId="60D7788C" w:rsidR="000530F5" w:rsidRPr="00781F53" w:rsidRDefault="004C019C"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EBITDA</w:t>
            </w:r>
            <w:r>
              <w:rPr>
                <w:rFonts w:ascii="Arial" w:eastAsia="Times New Roman" w:hAnsi="Arial" w:cs="Arial"/>
                <w:b/>
                <w:bCs/>
                <w:color w:val="404040"/>
                <w:sz w:val="18"/>
                <w:szCs w:val="18"/>
                <w:lang w:val="pt-PT" w:eastAsia="pl-PL"/>
              </w:rPr>
              <w:t xml:space="preserve"> Ajustado</w:t>
            </w:r>
          </w:p>
        </w:tc>
        <w:tc>
          <w:tcPr>
            <w:tcW w:w="1740" w:type="dxa"/>
            <w:tcBorders>
              <w:top w:val="nil"/>
              <w:left w:val="nil"/>
              <w:bottom w:val="nil"/>
              <w:right w:val="nil"/>
            </w:tcBorders>
            <w:shd w:val="clear" w:color="auto" w:fill="D9D9D9" w:themeFill="background1" w:themeFillShade="D9"/>
            <w:noWrap/>
            <w:vAlign w:val="center"/>
            <w:hideMark/>
          </w:tcPr>
          <w:p w14:paraId="0DB3B445"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523.1</w:t>
            </w:r>
          </w:p>
        </w:tc>
        <w:tc>
          <w:tcPr>
            <w:tcW w:w="1680" w:type="dxa"/>
            <w:tcBorders>
              <w:top w:val="nil"/>
              <w:left w:val="nil"/>
              <w:bottom w:val="nil"/>
              <w:right w:val="nil"/>
            </w:tcBorders>
            <w:shd w:val="clear" w:color="auto" w:fill="D9D9D9" w:themeFill="background1" w:themeFillShade="D9"/>
            <w:noWrap/>
            <w:vAlign w:val="center"/>
            <w:hideMark/>
          </w:tcPr>
          <w:p w14:paraId="42177C41"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356.5</w:t>
            </w:r>
          </w:p>
        </w:tc>
        <w:tc>
          <w:tcPr>
            <w:tcW w:w="1500" w:type="dxa"/>
            <w:tcBorders>
              <w:top w:val="nil"/>
              <w:left w:val="nil"/>
              <w:bottom w:val="nil"/>
              <w:right w:val="nil"/>
            </w:tcBorders>
            <w:shd w:val="clear" w:color="auto" w:fill="D9D9D9" w:themeFill="background1" w:themeFillShade="D9"/>
            <w:noWrap/>
            <w:vAlign w:val="center"/>
            <w:hideMark/>
          </w:tcPr>
          <w:p w14:paraId="1A06A481"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46.7%</w:t>
            </w:r>
          </w:p>
        </w:tc>
      </w:tr>
      <w:tr w:rsidR="000530F5" w:rsidRPr="00781F53" w14:paraId="0E3A94AC"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6B1D516B"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Poland</w:t>
            </w:r>
            <w:proofErr w:type="spellEnd"/>
          </w:p>
        </w:tc>
        <w:tc>
          <w:tcPr>
            <w:tcW w:w="1740" w:type="dxa"/>
            <w:tcBorders>
              <w:top w:val="nil"/>
              <w:left w:val="nil"/>
              <w:bottom w:val="nil"/>
              <w:right w:val="nil"/>
            </w:tcBorders>
            <w:shd w:val="clear" w:color="auto" w:fill="FFFFFF" w:themeFill="background1"/>
            <w:noWrap/>
            <w:vAlign w:val="center"/>
            <w:hideMark/>
          </w:tcPr>
          <w:p w14:paraId="5EC96FB4"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465.2</w:t>
            </w:r>
          </w:p>
        </w:tc>
        <w:tc>
          <w:tcPr>
            <w:tcW w:w="1680" w:type="dxa"/>
            <w:tcBorders>
              <w:top w:val="nil"/>
              <w:left w:val="nil"/>
              <w:bottom w:val="nil"/>
              <w:right w:val="nil"/>
            </w:tcBorders>
            <w:shd w:val="clear" w:color="auto" w:fill="FFFFFF" w:themeFill="background1"/>
            <w:noWrap/>
            <w:vAlign w:val="center"/>
            <w:hideMark/>
          </w:tcPr>
          <w:p w14:paraId="70CF33B7"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370.9</w:t>
            </w:r>
          </w:p>
        </w:tc>
        <w:tc>
          <w:tcPr>
            <w:tcW w:w="1500" w:type="dxa"/>
            <w:tcBorders>
              <w:top w:val="nil"/>
              <w:left w:val="nil"/>
              <w:bottom w:val="nil"/>
              <w:right w:val="nil"/>
            </w:tcBorders>
            <w:shd w:val="clear" w:color="auto" w:fill="FFFFFF" w:themeFill="background1"/>
            <w:noWrap/>
            <w:vAlign w:val="center"/>
            <w:hideMark/>
          </w:tcPr>
          <w:p w14:paraId="57FFDFD3"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25.4%</w:t>
            </w:r>
          </w:p>
        </w:tc>
      </w:tr>
      <w:tr w:rsidR="000530F5" w:rsidRPr="00781F53" w14:paraId="5E530B1B"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786636FD"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which</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International</w:t>
            </w:r>
            <w:proofErr w:type="spellEnd"/>
            <w:r w:rsidRPr="00781F53">
              <w:rPr>
                <w:rFonts w:ascii="Arial" w:eastAsia="Times New Roman" w:hAnsi="Arial" w:cs="Arial"/>
                <w:color w:val="404040"/>
                <w:sz w:val="16"/>
                <w:szCs w:val="16"/>
                <w:lang w:val="pt-PT" w:eastAsia="pl-PL"/>
              </w:rPr>
              <w:t xml:space="preserve"> (UK + IT)</w:t>
            </w:r>
          </w:p>
        </w:tc>
        <w:tc>
          <w:tcPr>
            <w:tcW w:w="1740" w:type="dxa"/>
            <w:tcBorders>
              <w:top w:val="nil"/>
              <w:left w:val="nil"/>
              <w:bottom w:val="nil"/>
              <w:right w:val="nil"/>
            </w:tcBorders>
            <w:shd w:val="clear" w:color="auto" w:fill="FFFFFF" w:themeFill="background1"/>
            <w:noWrap/>
            <w:vAlign w:val="center"/>
            <w:hideMark/>
          </w:tcPr>
          <w:p w14:paraId="04588412" w14:textId="35B474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(45.6)</w:t>
            </w:r>
          </w:p>
        </w:tc>
        <w:tc>
          <w:tcPr>
            <w:tcW w:w="1680" w:type="dxa"/>
            <w:tcBorders>
              <w:top w:val="nil"/>
              <w:left w:val="nil"/>
              <w:bottom w:val="nil"/>
              <w:right w:val="nil"/>
            </w:tcBorders>
            <w:shd w:val="clear" w:color="auto" w:fill="FFFFFF" w:themeFill="background1"/>
            <w:noWrap/>
            <w:vAlign w:val="center"/>
            <w:hideMark/>
          </w:tcPr>
          <w:p w14:paraId="52CF5944" w14:textId="1A111C2F"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(14.4)</w:t>
            </w:r>
          </w:p>
        </w:tc>
        <w:tc>
          <w:tcPr>
            <w:tcW w:w="1500" w:type="dxa"/>
            <w:tcBorders>
              <w:top w:val="nil"/>
              <w:left w:val="nil"/>
              <w:bottom w:val="nil"/>
              <w:right w:val="nil"/>
            </w:tcBorders>
            <w:shd w:val="clear" w:color="auto" w:fill="FFFFFF" w:themeFill="background1"/>
            <w:noWrap/>
            <w:vAlign w:val="center"/>
            <w:hideMark/>
          </w:tcPr>
          <w:p w14:paraId="77A05E6A" w14:textId="4A73E892" w:rsidR="000530F5" w:rsidRPr="00781F53" w:rsidRDefault="38F357BA" w:rsidP="00781F53">
            <w:pPr>
              <w:spacing w:line="276" w:lineRule="auto"/>
              <w:jc w:val="center"/>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0530F5" w:rsidRPr="00781F53" w14:paraId="5FBDE1DF"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32DDFBBA" w14:textId="77777777" w:rsidR="000530F5" w:rsidRPr="00781F53" w:rsidRDefault="000530F5" w:rsidP="00781F53">
            <w:pPr>
              <w:widowControl/>
              <w:autoSpaceDE/>
              <w:autoSpaceDN/>
              <w:spacing w:line="276" w:lineRule="auto"/>
              <w:ind w:firstLineChars="200" w:firstLine="320"/>
              <w:rPr>
                <w:rFonts w:ascii="Arial" w:eastAsia="Times New Roman" w:hAnsi="Arial" w:cs="Arial"/>
                <w:color w:val="404040"/>
                <w:sz w:val="16"/>
                <w:szCs w:val="16"/>
                <w:lang w:val="pt-PT" w:eastAsia="pl-PL"/>
              </w:rPr>
            </w:pPr>
            <w:proofErr w:type="spellStart"/>
            <w:proofErr w:type="gramStart"/>
            <w:r w:rsidRPr="00781F53">
              <w:rPr>
                <w:rFonts w:ascii="Arial" w:eastAsia="Times New Roman" w:hAnsi="Arial" w:cs="Arial"/>
                <w:color w:val="404040"/>
                <w:sz w:val="16"/>
                <w:szCs w:val="16"/>
                <w:lang w:val="pt-PT" w:eastAsia="pl-PL"/>
              </w:rPr>
              <w:t>of</w:t>
            </w:r>
            <w:proofErr w:type="spellEnd"/>
            <w:proofErr w:type="gramEnd"/>
            <w:r w:rsidRPr="00781F53">
              <w:rPr>
                <w:rFonts w:ascii="Arial" w:eastAsia="Times New Roman" w:hAnsi="Arial" w:cs="Arial"/>
                <w:color w:val="404040"/>
                <w:sz w:val="16"/>
                <w:szCs w:val="16"/>
                <w:lang w:val="pt-PT" w:eastAsia="pl-PL"/>
              </w:rPr>
              <w:t xml:space="preserve"> Mondial Relay</w:t>
            </w:r>
          </w:p>
        </w:tc>
        <w:tc>
          <w:tcPr>
            <w:tcW w:w="1740" w:type="dxa"/>
            <w:tcBorders>
              <w:top w:val="nil"/>
              <w:left w:val="nil"/>
              <w:bottom w:val="nil"/>
              <w:right w:val="nil"/>
            </w:tcBorders>
            <w:shd w:val="clear" w:color="auto" w:fill="FFFFFF" w:themeFill="background1"/>
            <w:noWrap/>
            <w:vAlign w:val="center"/>
            <w:hideMark/>
          </w:tcPr>
          <w:p w14:paraId="090EDE26"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103.5</w:t>
            </w:r>
          </w:p>
        </w:tc>
        <w:tc>
          <w:tcPr>
            <w:tcW w:w="1680" w:type="dxa"/>
            <w:tcBorders>
              <w:top w:val="nil"/>
              <w:left w:val="nil"/>
              <w:bottom w:val="nil"/>
              <w:right w:val="nil"/>
            </w:tcBorders>
            <w:shd w:val="clear" w:color="auto" w:fill="FFFFFF" w:themeFill="background1"/>
            <w:noWrap/>
            <w:vAlign w:val="center"/>
            <w:hideMark/>
          </w:tcPr>
          <w:p w14:paraId="1A6D0789" w14:textId="6FD40FBF"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c>
          <w:tcPr>
            <w:tcW w:w="1500" w:type="dxa"/>
            <w:tcBorders>
              <w:top w:val="nil"/>
              <w:left w:val="nil"/>
              <w:bottom w:val="nil"/>
              <w:right w:val="nil"/>
            </w:tcBorders>
            <w:shd w:val="clear" w:color="auto" w:fill="FFFFFF" w:themeFill="background1"/>
            <w:noWrap/>
            <w:vAlign w:val="center"/>
            <w:hideMark/>
          </w:tcPr>
          <w:p w14:paraId="63C6E14B" w14:textId="356CFD63" w:rsidR="000530F5" w:rsidRPr="00781F53" w:rsidRDefault="004C0F64"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w:t>
            </w:r>
          </w:p>
        </w:tc>
      </w:tr>
      <w:tr w:rsidR="000530F5" w:rsidRPr="00781F53" w14:paraId="2E4D8C29"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128F09DF" w14:textId="4C2E7BAA" w:rsidR="000530F5" w:rsidRPr="00781F53" w:rsidRDefault="004C019C"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 xml:space="preserve">Margem </w:t>
            </w:r>
            <w:r w:rsidRPr="00781F53">
              <w:rPr>
                <w:rFonts w:ascii="Arial" w:eastAsia="Times New Roman" w:hAnsi="Arial" w:cs="Arial"/>
                <w:b/>
                <w:bCs/>
                <w:color w:val="404040"/>
                <w:sz w:val="18"/>
                <w:szCs w:val="18"/>
                <w:lang w:val="pt-PT" w:eastAsia="pl-PL"/>
              </w:rPr>
              <w:t xml:space="preserve">EBITDA </w:t>
            </w:r>
            <w:r>
              <w:rPr>
                <w:rFonts w:ascii="Arial" w:eastAsia="Times New Roman" w:hAnsi="Arial" w:cs="Arial"/>
                <w:b/>
                <w:bCs/>
                <w:color w:val="404040"/>
                <w:sz w:val="18"/>
                <w:szCs w:val="18"/>
                <w:lang w:val="pt-PT" w:eastAsia="pl-PL"/>
              </w:rPr>
              <w:t>Ajustada</w:t>
            </w:r>
          </w:p>
        </w:tc>
        <w:tc>
          <w:tcPr>
            <w:tcW w:w="1740" w:type="dxa"/>
            <w:tcBorders>
              <w:top w:val="nil"/>
              <w:left w:val="nil"/>
              <w:bottom w:val="nil"/>
              <w:right w:val="nil"/>
            </w:tcBorders>
            <w:shd w:val="clear" w:color="auto" w:fill="D9D9D9" w:themeFill="background1" w:themeFillShade="D9"/>
            <w:noWrap/>
            <w:vAlign w:val="center"/>
            <w:hideMark/>
          </w:tcPr>
          <w:p w14:paraId="147A6C08"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31.2%</w:t>
            </w:r>
          </w:p>
        </w:tc>
        <w:tc>
          <w:tcPr>
            <w:tcW w:w="1680" w:type="dxa"/>
            <w:tcBorders>
              <w:top w:val="nil"/>
              <w:left w:val="nil"/>
              <w:bottom w:val="nil"/>
              <w:right w:val="nil"/>
            </w:tcBorders>
            <w:shd w:val="clear" w:color="auto" w:fill="D9D9D9" w:themeFill="background1" w:themeFillShade="D9"/>
            <w:noWrap/>
            <w:vAlign w:val="center"/>
            <w:hideMark/>
          </w:tcPr>
          <w:p w14:paraId="378F3557"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41.9%</w:t>
            </w:r>
          </w:p>
        </w:tc>
        <w:tc>
          <w:tcPr>
            <w:tcW w:w="1500" w:type="dxa"/>
            <w:tcBorders>
              <w:top w:val="nil"/>
              <w:left w:val="nil"/>
              <w:bottom w:val="nil"/>
              <w:right w:val="nil"/>
            </w:tcBorders>
            <w:shd w:val="clear" w:color="auto" w:fill="D9D9D9" w:themeFill="background1" w:themeFillShade="D9"/>
            <w:noWrap/>
            <w:vAlign w:val="center"/>
            <w:hideMark/>
          </w:tcPr>
          <w:p w14:paraId="0BFE1A8F" w14:textId="49D167E2"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color w:val="404040" w:themeColor="text1" w:themeTint="BF"/>
                <w:sz w:val="18"/>
                <w:szCs w:val="18"/>
                <w:lang w:val="pt-PT" w:eastAsia="pl-PL"/>
              </w:rPr>
              <w:t>-1070bps</w:t>
            </w:r>
          </w:p>
        </w:tc>
      </w:tr>
      <w:tr w:rsidR="000530F5" w:rsidRPr="00781F53" w14:paraId="25C822FE"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7006BAD0"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Non-recurring</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items</w:t>
            </w:r>
            <w:proofErr w:type="spellEnd"/>
          </w:p>
        </w:tc>
        <w:tc>
          <w:tcPr>
            <w:tcW w:w="1740" w:type="dxa"/>
            <w:tcBorders>
              <w:top w:val="nil"/>
              <w:left w:val="nil"/>
              <w:bottom w:val="nil"/>
              <w:right w:val="nil"/>
            </w:tcBorders>
            <w:shd w:val="clear" w:color="auto" w:fill="FFFFFF" w:themeFill="background1"/>
            <w:noWrap/>
            <w:vAlign w:val="center"/>
            <w:hideMark/>
          </w:tcPr>
          <w:p w14:paraId="4D39A710"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(48.2)</w:t>
            </w:r>
          </w:p>
        </w:tc>
        <w:tc>
          <w:tcPr>
            <w:tcW w:w="1680" w:type="dxa"/>
            <w:tcBorders>
              <w:top w:val="nil"/>
              <w:left w:val="nil"/>
              <w:bottom w:val="nil"/>
              <w:right w:val="nil"/>
            </w:tcBorders>
            <w:shd w:val="clear" w:color="auto" w:fill="FFFFFF" w:themeFill="background1"/>
            <w:noWrap/>
            <w:vAlign w:val="center"/>
            <w:hideMark/>
          </w:tcPr>
          <w:p w14:paraId="37CAE110"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(7.0)</w:t>
            </w:r>
          </w:p>
        </w:tc>
        <w:tc>
          <w:tcPr>
            <w:tcW w:w="1500" w:type="dxa"/>
            <w:tcBorders>
              <w:top w:val="nil"/>
              <w:left w:val="nil"/>
              <w:bottom w:val="nil"/>
              <w:right w:val="nil"/>
            </w:tcBorders>
            <w:shd w:val="clear" w:color="auto" w:fill="FFFFFF" w:themeFill="background1"/>
            <w:noWrap/>
            <w:vAlign w:val="center"/>
            <w:hideMark/>
          </w:tcPr>
          <w:p w14:paraId="7D28EAE4"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588.6%</w:t>
            </w:r>
          </w:p>
        </w:tc>
      </w:tr>
      <w:tr w:rsidR="000530F5" w:rsidRPr="00781F53" w14:paraId="1D495752"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09F32EFC" w14:textId="13693075" w:rsidR="000530F5" w:rsidRPr="00781F53" w:rsidRDefault="004C019C"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EBITDA</w:t>
            </w:r>
            <w:r>
              <w:rPr>
                <w:rFonts w:ascii="Arial" w:eastAsia="Times New Roman" w:hAnsi="Arial" w:cs="Arial"/>
                <w:b/>
                <w:bCs/>
                <w:color w:val="404040"/>
                <w:sz w:val="18"/>
                <w:szCs w:val="18"/>
                <w:lang w:val="pt-PT" w:eastAsia="pl-PL"/>
              </w:rPr>
              <w:t xml:space="preserve"> Operacional</w:t>
            </w:r>
          </w:p>
        </w:tc>
        <w:tc>
          <w:tcPr>
            <w:tcW w:w="1740" w:type="dxa"/>
            <w:tcBorders>
              <w:top w:val="nil"/>
              <w:left w:val="nil"/>
              <w:bottom w:val="nil"/>
              <w:right w:val="nil"/>
            </w:tcBorders>
            <w:shd w:val="clear" w:color="auto" w:fill="D9D9D9" w:themeFill="background1" w:themeFillShade="D9"/>
            <w:noWrap/>
            <w:vAlign w:val="center"/>
            <w:hideMark/>
          </w:tcPr>
          <w:p w14:paraId="515E42AD"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474.9</w:t>
            </w:r>
          </w:p>
        </w:tc>
        <w:tc>
          <w:tcPr>
            <w:tcW w:w="1680" w:type="dxa"/>
            <w:tcBorders>
              <w:top w:val="nil"/>
              <w:left w:val="nil"/>
              <w:bottom w:val="nil"/>
              <w:right w:val="nil"/>
            </w:tcBorders>
            <w:shd w:val="clear" w:color="auto" w:fill="D9D9D9" w:themeFill="background1" w:themeFillShade="D9"/>
            <w:noWrap/>
            <w:vAlign w:val="center"/>
            <w:hideMark/>
          </w:tcPr>
          <w:p w14:paraId="2830CB7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349.5</w:t>
            </w:r>
          </w:p>
        </w:tc>
        <w:tc>
          <w:tcPr>
            <w:tcW w:w="1500" w:type="dxa"/>
            <w:tcBorders>
              <w:top w:val="nil"/>
              <w:left w:val="nil"/>
              <w:bottom w:val="nil"/>
              <w:right w:val="nil"/>
            </w:tcBorders>
            <w:shd w:val="clear" w:color="auto" w:fill="D9D9D9" w:themeFill="background1" w:themeFillShade="D9"/>
            <w:noWrap/>
            <w:vAlign w:val="center"/>
            <w:hideMark/>
          </w:tcPr>
          <w:p w14:paraId="72FADEFC"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35.9%</w:t>
            </w:r>
          </w:p>
        </w:tc>
      </w:tr>
      <w:tr w:rsidR="000530F5" w:rsidRPr="00781F53" w14:paraId="78D86823"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21A79C50"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D&amp;A</w:t>
            </w:r>
          </w:p>
        </w:tc>
        <w:tc>
          <w:tcPr>
            <w:tcW w:w="1740" w:type="dxa"/>
            <w:tcBorders>
              <w:top w:val="nil"/>
              <w:left w:val="nil"/>
              <w:bottom w:val="nil"/>
              <w:right w:val="nil"/>
            </w:tcBorders>
            <w:shd w:val="clear" w:color="auto" w:fill="FFFFFF" w:themeFill="background1"/>
            <w:noWrap/>
            <w:vAlign w:val="center"/>
            <w:hideMark/>
          </w:tcPr>
          <w:p w14:paraId="36247364"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(201.0)</w:t>
            </w:r>
          </w:p>
        </w:tc>
        <w:tc>
          <w:tcPr>
            <w:tcW w:w="1680" w:type="dxa"/>
            <w:tcBorders>
              <w:top w:val="nil"/>
              <w:left w:val="nil"/>
              <w:bottom w:val="nil"/>
              <w:right w:val="nil"/>
            </w:tcBorders>
            <w:shd w:val="clear" w:color="auto" w:fill="FFFFFF" w:themeFill="background1"/>
            <w:noWrap/>
            <w:vAlign w:val="center"/>
            <w:hideMark/>
          </w:tcPr>
          <w:p w14:paraId="2F6BA45D"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(113.7)</w:t>
            </w:r>
          </w:p>
        </w:tc>
        <w:tc>
          <w:tcPr>
            <w:tcW w:w="1500" w:type="dxa"/>
            <w:tcBorders>
              <w:top w:val="nil"/>
              <w:left w:val="nil"/>
              <w:bottom w:val="nil"/>
              <w:right w:val="nil"/>
            </w:tcBorders>
            <w:shd w:val="clear" w:color="auto" w:fill="FFFFFF" w:themeFill="background1"/>
            <w:noWrap/>
            <w:vAlign w:val="center"/>
            <w:hideMark/>
          </w:tcPr>
          <w:p w14:paraId="4F8D3FE1"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76.8%</w:t>
            </w:r>
          </w:p>
        </w:tc>
      </w:tr>
      <w:tr w:rsidR="000530F5" w:rsidRPr="00781F53" w14:paraId="11A52F8E"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211FF8E8" w14:textId="77777777" w:rsidR="000530F5" w:rsidRPr="00781F53" w:rsidRDefault="000530F5" w:rsidP="00781F53">
            <w:pPr>
              <w:widowControl/>
              <w:autoSpaceDE/>
              <w:autoSpaceDN/>
              <w:spacing w:line="276" w:lineRule="auto"/>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EBIT</w:t>
            </w:r>
          </w:p>
        </w:tc>
        <w:tc>
          <w:tcPr>
            <w:tcW w:w="1740" w:type="dxa"/>
            <w:tcBorders>
              <w:top w:val="nil"/>
              <w:left w:val="nil"/>
              <w:bottom w:val="nil"/>
              <w:right w:val="nil"/>
            </w:tcBorders>
            <w:shd w:val="clear" w:color="auto" w:fill="D9D9D9" w:themeFill="background1" w:themeFillShade="D9"/>
            <w:noWrap/>
            <w:vAlign w:val="center"/>
            <w:hideMark/>
          </w:tcPr>
          <w:p w14:paraId="629CAF3A"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273.9</w:t>
            </w:r>
          </w:p>
        </w:tc>
        <w:tc>
          <w:tcPr>
            <w:tcW w:w="1680" w:type="dxa"/>
            <w:tcBorders>
              <w:top w:val="nil"/>
              <w:left w:val="nil"/>
              <w:bottom w:val="nil"/>
              <w:right w:val="nil"/>
            </w:tcBorders>
            <w:shd w:val="clear" w:color="auto" w:fill="D9D9D9" w:themeFill="background1" w:themeFillShade="D9"/>
            <w:noWrap/>
            <w:vAlign w:val="center"/>
            <w:hideMark/>
          </w:tcPr>
          <w:p w14:paraId="2FFB20D5"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235.8</w:t>
            </w:r>
          </w:p>
        </w:tc>
        <w:tc>
          <w:tcPr>
            <w:tcW w:w="1500" w:type="dxa"/>
            <w:tcBorders>
              <w:top w:val="nil"/>
              <w:left w:val="nil"/>
              <w:bottom w:val="nil"/>
              <w:right w:val="nil"/>
            </w:tcBorders>
            <w:shd w:val="clear" w:color="auto" w:fill="D9D9D9" w:themeFill="background1" w:themeFillShade="D9"/>
            <w:noWrap/>
            <w:vAlign w:val="center"/>
            <w:hideMark/>
          </w:tcPr>
          <w:p w14:paraId="50276046"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16.2%</w:t>
            </w:r>
          </w:p>
        </w:tc>
      </w:tr>
      <w:tr w:rsidR="000530F5" w:rsidRPr="00781F53" w14:paraId="7CA7E084"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091E1110"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 xml:space="preserve">Net financial </w:t>
            </w:r>
            <w:proofErr w:type="spellStart"/>
            <w:r w:rsidRPr="00781F53">
              <w:rPr>
                <w:rFonts w:ascii="Arial" w:eastAsia="Times New Roman" w:hAnsi="Arial" w:cs="Arial"/>
                <w:color w:val="404040"/>
                <w:sz w:val="16"/>
                <w:szCs w:val="16"/>
                <w:lang w:val="pt-PT" w:eastAsia="pl-PL"/>
              </w:rPr>
              <w:t>cost</w:t>
            </w:r>
            <w:proofErr w:type="spellEnd"/>
          </w:p>
        </w:tc>
        <w:tc>
          <w:tcPr>
            <w:tcW w:w="1740" w:type="dxa"/>
            <w:tcBorders>
              <w:top w:val="nil"/>
              <w:left w:val="nil"/>
              <w:bottom w:val="nil"/>
              <w:right w:val="nil"/>
            </w:tcBorders>
            <w:shd w:val="clear" w:color="auto" w:fill="FFFFFF" w:themeFill="background1"/>
            <w:noWrap/>
            <w:vAlign w:val="center"/>
            <w:hideMark/>
          </w:tcPr>
          <w:p w14:paraId="6181484F"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(40.4)</w:t>
            </w:r>
          </w:p>
        </w:tc>
        <w:tc>
          <w:tcPr>
            <w:tcW w:w="1680" w:type="dxa"/>
            <w:tcBorders>
              <w:top w:val="nil"/>
              <w:left w:val="nil"/>
              <w:bottom w:val="nil"/>
              <w:right w:val="nil"/>
            </w:tcBorders>
            <w:shd w:val="clear" w:color="auto" w:fill="FFFFFF" w:themeFill="background1"/>
            <w:noWrap/>
            <w:vAlign w:val="center"/>
            <w:hideMark/>
          </w:tcPr>
          <w:p w14:paraId="37BFF310"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(48.0)</w:t>
            </w:r>
          </w:p>
        </w:tc>
        <w:tc>
          <w:tcPr>
            <w:tcW w:w="1500" w:type="dxa"/>
            <w:tcBorders>
              <w:top w:val="nil"/>
              <w:left w:val="nil"/>
              <w:bottom w:val="nil"/>
              <w:right w:val="nil"/>
            </w:tcBorders>
            <w:shd w:val="clear" w:color="auto" w:fill="FFFFFF" w:themeFill="background1"/>
            <w:noWrap/>
            <w:vAlign w:val="center"/>
            <w:hideMark/>
          </w:tcPr>
          <w:p w14:paraId="59DC8A06" w14:textId="4086AE9A"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themeColor="text1" w:themeTint="BF"/>
                <w:sz w:val="16"/>
                <w:szCs w:val="16"/>
                <w:lang w:val="pt-PT" w:eastAsia="pl-PL"/>
              </w:rPr>
              <w:t>(15.8%)</w:t>
            </w:r>
          </w:p>
        </w:tc>
      </w:tr>
      <w:tr w:rsidR="000530F5" w:rsidRPr="00781F53" w14:paraId="51C545E9"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4F5D2E13" w14:textId="6BC4E5B1" w:rsidR="000530F5" w:rsidRPr="00781F53" w:rsidRDefault="004C019C" w:rsidP="00781F53">
            <w:pPr>
              <w:widowControl/>
              <w:autoSpaceDE/>
              <w:autoSpaceDN/>
              <w:spacing w:line="276" w:lineRule="auto"/>
              <w:rPr>
                <w:rFonts w:ascii="Arial" w:eastAsia="Times New Roman" w:hAnsi="Arial" w:cs="Arial"/>
                <w:b/>
                <w:bCs/>
                <w:color w:val="404040"/>
                <w:sz w:val="18"/>
                <w:szCs w:val="18"/>
                <w:lang w:val="pt-PT" w:eastAsia="pl-PL"/>
              </w:rPr>
            </w:pPr>
            <w:r>
              <w:rPr>
                <w:rFonts w:ascii="Arial" w:eastAsia="Times New Roman" w:hAnsi="Arial" w:cs="Arial"/>
                <w:b/>
                <w:bCs/>
                <w:color w:val="404040"/>
                <w:sz w:val="18"/>
                <w:szCs w:val="18"/>
                <w:lang w:val="pt-PT" w:eastAsia="pl-PL"/>
              </w:rPr>
              <w:t>Lucros antes de impostos</w:t>
            </w:r>
          </w:p>
        </w:tc>
        <w:tc>
          <w:tcPr>
            <w:tcW w:w="1740" w:type="dxa"/>
            <w:tcBorders>
              <w:top w:val="nil"/>
              <w:left w:val="nil"/>
              <w:bottom w:val="nil"/>
              <w:right w:val="nil"/>
            </w:tcBorders>
            <w:shd w:val="clear" w:color="auto" w:fill="D9D9D9" w:themeFill="background1" w:themeFillShade="D9"/>
            <w:noWrap/>
            <w:vAlign w:val="center"/>
            <w:hideMark/>
          </w:tcPr>
          <w:p w14:paraId="44BD6E23" w14:textId="0B7F32F3"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color w:val="404040" w:themeColor="text1" w:themeTint="BF"/>
                <w:sz w:val="18"/>
                <w:szCs w:val="18"/>
                <w:lang w:val="pt-PT" w:eastAsia="pl-PL"/>
              </w:rPr>
              <w:t>233.5</w:t>
            </w:r>
          </w:p>
        </w:tc>
        <w:tc>
          <w:tcPr>
            <w:tcW w:w="1680" w:type="dxa"/>
            <w:tcBorders>
              <w:top w:val="nil"/>
              <w:left w:val="nil"/>
              <w:bottom w:val="nil"/>
              <w:right w:val="nil"/>
            </w:tcBorders>
            <w:shd w:val="clear" w:color="auto" w:fill="D9D9D9" w:themeFill="background1" w:themeFillShade="D9"/>
            <w:noWrap/>
            <w:vAlign w:val="center"/>
            <w:hideMark/>
          </w:tcPr>
          <w:p w14:paraId="32370963"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187.8</w:t>
            </w:r>
          </w:p>
        </w:tc>
        <w:tc>
          <w:tcPr>
            <w:tcW w:w="1500" w:type="dxa"/>
            <w:tcBorders>
              <w:top w:val="nil"/>
              <w:left w:val="nil"/>
              <w:bottom w:val="nil"/>
              <w:right w:val="nil"/>
            </w:tcBorders>
            <w:shd w:val="clear" w:color="auto" w:fill="D9D9D9" w:themeFill="background1" w:themeFillShade="D9"/>
            <w:noWrap/>
            <w:vAlign w:val="center"/>
            <w:hideMark/>
          </w:tcPr>
          <w:p w14:paraId="046FD82F"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24.3%</w:t>
            </w:r>
          </w:p>
        </w:tc>
      </w:tr>
      <w:tr w:rsidR="000530F5" w:rsidRPr="00781F53" w14:paraId="3FB8955C" w14:textId="77777777" w:rsidTr="38F357BA">
        <w:trPr>
          <w:trHeight w:val="300"/>
        </w:trPr>
        <w:tc>
          <w:tcPr>
            <w:tcW w:w="5080" w:type="dxa"/>
            <w:tcBorders>
              <w:top w:val="nil"/>
              <w:left w:val="nil"/>
              <w:bottom w:val="nil"/>
              <w:right w:val="nil"/>
            </w:tcBorders>
            <w:shd w:val="clear" w:color="auto" w:fill="FFFFFF" w:themeFill="background1"/>
            <w:noWrap/>
            <w:vAlign w:val="center"/>
            <w:hideMark/>
          </w:tcPr>
          <w:p w14:paraId="1817D663"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Income</w:t>
            </w:r>
            <w:proofErr w:type="spellEnd"/>
            <w:r w:rsidRPr="00781F53">
              <w:rPr>
                <w:rFonts w:ascii="Arial" w:eastAsia="Times New Roman" w:hAnsi="Arial" w:cs="Arial"/>
                <w:color w:val="404040"/>
                <w:sz w:val="16"/>
                <w:szCs w:val="16"/>
                <w:lang w:val="pt-PT" w:eastAsia="pl-PL"/>
              </w:rPr>
              <w:t xml:space="preserve"> </w:t>
            </w:r>
            <w:proofErr w:type="spellStart"/>
            <w:r w:rsidRPr="00781F53">
              <w:rPr>
                <w:rFonts w:ascii="Arial" w:eastAsia="Times New Roman" w:hAnsi="Arial" w:cs="Arial"/>
                <w:color w:val="404040"/>
                <w:sz w:val="16"/>
                <w:szCs w:val="16"/>
                <w:lang w:val="pt-PT" w:eastAsia="pl-PL"/>
              </w:rPr>
              <w:t>tax</w:t>
            </w:r>
            <w:proofErr w:type="spellEnd"/>
          </w:p>
        </w:tc>
        <w:tc>
          <w:tcPr>
            <w:tcW w:w="1740" w:type="dxa"/>
            <w:tcBorders>
              <w:top w:val="nil"/>
              <w:left w:val="nil"/>
              <w:bottom w:val="nil"/>
              <w:right w:val="nil"/>
            </w:tcBorders>
            <w:shd w:val="clear" w:color="auto" w:fill="FFFFFF" w:themeFill="background1"/>
            <w:noWrap/>
            <w:vAlign w:val="center"/>
            <w:hideMark/>
          </w:tcPr>
          <w:p w14:paraId="6588462A"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(59.3)</w:t>
            </w:r>
          </w:p>
        </w:tc>
        <w:tc>
          <w:tcPr>
            <w:tcW w:w="1680" w:type="dxa"/>
            <w:tcBorders>
              <w:top w:val="nil"/>
              <w:left w:val="nil"/>
              <w:bottom w:val="nil"/>
              <w:right w:val="nil"/>
            </w:tcBorders>
            <w:shd w:val="clear" w:color="auto" w:fill="FFFFFF" w:themeFill="background1"/>
            <w:noWrap/>
            <w:vAlign w:val="center"/>
            <w:hideMark/>
          </w:tcPr>
          <w:p w14:paraId="37F8ADEC"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(43.8)</w:t>
            </w:r>
          </w:p>
        </w:tc>
        <w:tc>
          <w:tcPr>
            <w:tcW w:w="1500" w:type="dxa"/>
            <w:tcBorders>
              <w:top w:val="nil"/>
              <w:left w:val="nil"/>
              <w:bottom w:val="nil"/>
              <w:right w:val="nil"/>
            </w:tcBorders>
            <w:shd w:val="clear" w:color="auto" w:fill="FFFFFF" w:themeFill="background1"/>
            <w:noWrap/>
            <w:vAlign w:val="center"/>
            <w:hideMark/>
          </w:tcPr>
          <w:p w14:paraId="5A350974"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35.4%</w:t>
            </w:r>
          </w:p>
        </w:tc>
      </w:tr>
      <w:tr w:rsidR="000530F5" w:rsidRPr="00781F53" w14:paraId="2C24C7EE" w14:textId="77777777" w:rsidTr="38F357BA">
        <w:trPr>
          <w:trHeight w:val="315"/>
        </w:trPr>
        <w:tc>
          <w:tcPr>
            <w:tcW w:w="5080" w:type="dxa"/>
            <w:tcBorders>
              <w:top w:val="nil"/>
              <w:left w:val="nil"/>
              <w:bottom w:val="nil"/>
              <w:right w:val="nil"/>
            </w:tcBorders>
            <w:shd w:val="clear" w:color="auto" w:fill="D9D9D9" w:themeFill="background1" w:themeFillShade="D9"/>
            <w:noWrap/>
            <w:vAlign w:val="center"/>
            <w:hideMark/>
          </w:tcPr>
          <w:p w14:paraId="2746CBAE" w14:textId="1E03E79C" w:rsidR="000530F5" w:rsidRPr="00781F53" w:rsidRDefault="004C019C" w:rsidP="00781F53">
            <w:pPr>
              <w:widowControl/>
              <w:autoSpaceDE/>
              <w:autoSpaceDN/>
              <w:spacing w:line="276" w:lineRule="auto"/>
              <w:rPr>
                <w:rFonts w:ascii="Arial" w:hAnsi="Arial" w:cs="Arial"/>
                <w:b/>
                <w:color w:val="404040"/>
                <w:sz w:val="18"/>
                <w:szCs w:val="18"/>
                <w:lang w:val="pt-PT" w:eastAsia="pl-PL"/>
              </w:rPr>
            </w:pPr>
            <w:r>
              <w:rPr>
                <w:rFonts w:ascii="Arial" w:eastAsia="Times New Roman" w:hAnsi="Arial" w:cs="Arial"/>
                <w:b/>
                <w:bCs/>
                <w:color w:val="404040" w:themeColor="text1" w:themeTint="BF"/>
                <w:sz w:val="18"/>
                <w:szCs w:val="18"/>
                <w:lang w:val="pt-PT" w:eastAsia="pl-PL"/>
              </w:rPr>
              <w:t>Lucro líquido das operações continuadas</w:t>
            </w:r>
            <w:r w:rsidRPr="00781F53">
              <w:rPr>
                <w:rFonts w:ascii="Arial" w:hAnsi="Arial" w:cs="Arial"/>
                <w:b/>
                <w:color w:val="404040"/>
                <w:sz w:val="18"/>
                <w:szCs w:val="18"/>
                <w:lang w:val="pt-PT" w:eastAsia="pl-PL"/>
              </w:rPr>
              <w:t xml:space="preserve"> </w:t>
            </w:r>
          </w:p>
        </w:tc>
        <w:tc>
          <w:tcPr>
            <w:tcW w:w="1740" w:type="dxa"/>
            <w:tcBorders>
              <w:top w:val="nil"/>
              <w:left w:val="nil"/>
              <w:bottom w:val="nil"/>
              <w:right w:val="nil"/>
            </w:tcBorders>
            <w:shd w:val="clear" w:color="auto" w:fill="D9D9D9" w:themeFill="background1" w:themeFillShade="D9"/>
            <w:noWrap/>
            <w:vAlign w:val="center"/>
            <w:hideMark/>
          </w:tcPr>
          <w:p w14:paraId="6200A335"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174.2</w:t>
            </w:r>
          </w:p>
        </w:tc>
        <w:tc>
          <w:tcPr>
            <w:tcW w:w="1680" w:type="dxa"/>
            <w:tcBorders>
              <w:top w:val="nil"/>
              <w:left w:val="nil"/>
              <w:bottom w:val="nil"/>
              <w:right w:val="nil"/>
            </w:tcBorders>
            <w:shd w:val="clear" w:color="auto" w:fill="D9D9D9" w:themeFill="background1" w:themeFillShade="D9"/>
            <w:noWrap/>
            <w:vAlign w:val="center"/>
            <w:hideMark/>
          </w:tcPr>
          <w:p w14:paraId="4D820FA8"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144.0</w:t>
            </w:r>
          </w:p>
        </w:tc>
        <w:tc>
          <w:tcPr>
            <w:tcW w:w="1500" w:type="dxa"/>
            <w:tcBorders>
              <w:top w:val="nil"/>
              <w:left w:val="nil"/>
              <w:bottom w:val="nil"/>
              <w:right w:val="nil"/>
            </w:tcBorders>
            <w:shd w:val="clear" w:color="auto" w:fill="D9D9D9" w:themeFill="background1" w:themeFillShade="D9"/>
            <w:noWrap/>
            <w:vAlign w:val="center"/>
            <w:hideMark/>
          </w:tcPr>
          <w:p w14:paraId="119F6CFC" w14:textId="77777777" w:rsidR="000530F5" w:rsidRPr="00781F53" w:rsidRDefault="000530F5" w:rsidP="00781F53">
            <w:pPr>
              <w:widowControl/>
              <w:autoSpaceDE/>
              <w:autoSpaceDN/>
              <w:spacing w:line="276" w:lineRule="auto"/>
              <w:jc w:val="center"/>
              <w:rPr>
                <w:rFonts w:ascii="Arial" w:eastAsia="Times New Roman" w:hAnsi="Arial" w:cs="Arial"/>
                <w:b/>
                <w:bCs/>
                <w:color w:val="404040"/>
                <w:sz w:val="18"/>
                <w:szCs w:val="18"/>
                <w:lang w:val="pt-PT" w:eastAsia="pl-PL"/>
              </w:rPr>
            </w:pPr>
            <w:r w:rsidRPr="00781F53">
              <w:rPr>
                <w:rFonts w:ascii="Arial" w:eastAsia="Times New Roman" w:hAnsi="Arial" w:cs="Arial"/>
                <w:b/>
                <w:bCs/>
                <w:color w:val="404040"/>
                <w:sz w:val="18"/>
                <w:szCs w:val="18"/>
                <w:lang w:val="pt-PT" w:eastAsia="pl-PL"/>
              </w:rPr>
              <w:t>21.0%</w:t>
            </w:r>
          </w:p>
        </w:tc>
      </w:tr>
      <w:tr w:rsidR="000530F5" w:rsidRPr="00781F53" w14:paraId="4A57E454" w14:textId="77777777" w:rsidTr="38F357BA">
        <w:trPr>
          <w:trHeight w:val="315"/>
        </w:trPr>
        <w:tc>
          <w:tcPr>
            <w:tcW w:w="5080" w:type="dxa"/>
            <w:tcBorders>
              <w:top w:val="nil"/>
              <w:left w:val="nil"/>
              <w:bottom w:val="nil"/>
              <w:right w:val="nil"/>
            </w:tcBorders>
            <w:shd w:val="clear" w:color="auto" w:fill="FFFFFF" w:themeFill="background1"/>
            <w:noWrap/>
            <w:vAlign w:val="center"/>
            <w:hideMark/>
          </w:tcPr>
          <w:p w14:paraId="1A16BAC6" w14:textId="77777777" w:rsidR="000530F5" w:rsidRPr="00781F53" w:rsidRDefault="000530F5" w:rsidP="00781F53">
            <w:pPr>
              <w:widowControl/>
              <w:autoSpaceDE/>
              <w:autoSpaceDN/>
              <w:spacing w:line="276" w:lineRule="auto"/>
              <w:rPr>
                <w:rFonts w:ascii="Arial" w:eastAsia="Times New Roman" w:hAnsi="Arial" w:cs="Arial"/>
                <w:color w:val="404040"/>
                <w:sz w:val="16"/>
                <w:szCs w:val="16"/>
                <w:lang w:val="pt-PT" w:eastAsia="pl-PL"/>
              </w:rPr>
            </w:pPr>
            <w:proofErr w:type="spellStart"/>
            <w:r w:rsidRPr="00781F53">
              <w:rPr>
                <w:rFonts w:ascii="Arial" w:eastAsia="Times New Roman" w:hAnsi="Arial" w:cs="Arial"/>
                <w:color w:val="404040"/>
                <w:sz w:val="16"/>
                <w:szCs w:val="16"/>
                <w:lang w:val="pt-PT" w:eastAsia="pl-PL"/>
              </w:rPr>
              <w:t>Earnings</w:t>
            </w:r>
            <w:proofErr w:type="spellEnd"/>
            <w:r w:rsidRPr="00781F53">
              <w:rPr>
                <w:rFonts w:ascii="Arial" w:eastAsia="Times New Roman" w:hAnsi="Arial" w:cs="Arial"/>
                <w:color w:val="404040"/>
                <w:sz w:val="16"/>
                <w:szCs w:val="16"/>
                <w:lang w:val="pt-PT" w:eastAsia="pl-PL"/>
              </w:rPr>
              <w:t xml:space="preserve"> per share</w:t>
            </w:r>
          </w:p>
        </w:tc>
        <w:tc>
          <w:tcPr>
            <w:tcW w:w="1740" w:type="dxa"/>
            <w:tcBorders>
              <w:top w:val="nil"/>
              <w:left w:val="nil"/>
              <w:bottom w:val="nil"/>
              <w:right w:val="nil"/>
            </w:tcBorders>
            <w:shd w:val="clear" w:color="auto" w:fill="FFFFFF" w:themeFill="background1"/>
            <w:noWrap/>
            <w:vAlign w:val="center"/>
            <w:hideMark/>
          </w:tcPr>
          <w:p w14:paraId="7507F214"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0.35</w:t>
            </w:r>
          </w:p>
        </w:tc>
        <w:tc>
          <w:tcPr>
            <w:tcW w:w="1680" w:type="dxa"/>
            <w:tcBorders>
              <w:top w:val="nil"/>
              <w:left w:val="nil"/>
              <w:bottom w:val="nil"/>
              <w:right w:val="nil"/>
            </w:tcBorders>
            <w:shd w:val="clear" w:color="auto" w:fill="FFFFFF" w:themeFill="background1"/>
            <w:noWrap/>
            <w:vAlign w:val="center"/>
            <w:hideMark/>
          </w:tcPr>
          <w:p w14:paraId="4CDED34A" w14:textId="77777777" w:rsidR="000530F5" w:rsidRPr="00781F53" w:rsidRDefault="000530F5" w:rsidP="00781F53">
            <w:pPr>
              <w:widowControl/>
              <w:autoSpaceDE/>
              <w:autoSpaceDN/>
              <w:spacing w:line="276" w:lineRule="auto"/>
              <w:jc w:val="center"/>
              <w:rPr>
                <w:rFonts w:ascii="Arial" w:eastAsia="Times New Roman" w:hAnsi="Arial" w:cs="Arial"/>
                <w:color w:val="404040"/>
                <w:sz w:val="16"/>
                <w:szCs w:val="16"/>
                <w:lang w:val="pt-PT" w:eastAsia="pl-PL"/>
              </w:rPr>
            </w:pPr>
            <w:r w:rsidRPr="00781F53">
              <w:rPr>
                <w:rFonts w:ascii="Arial" w:eastAsia="Times New Roman" w:hAnsi="Arial" w:cs="Arial"/>
                <w:color w:val="404040"/>
                <w:sz w:val="16"/>
                <w:szCs w:val="16"/>
                <w:lang w:val="pt-PT" w:eastAsia="pl-PL"/>
              </w:rPr>
              <w:t>0.29</w:t>
            </w:r>
          </w:p>
        </w:tc>
        <w:tc>
          <w:tcPr>
            <w:tcW w:w="1500" w:type="dxa"/>
            <w:tcBorders>
              <w:top w:val="nil"/>
              <w:left w:val="nil"/>
              <w:bottom w:val="nil"/>
              <w:right w:val="nil"/>
            </w:tcBorders>
            <w:shd w:val="clear" w:color="auto" w:fill="FFFFFF" w:themeFill="background1"/>
            <w:noWrap/>
            <w:vAlign w:val="center"/>
            <w:hideMark/>
          </w:tcPr>
          <w:p w14:paraId="1B5C98A0" w14:textId="2277FA8F" w:rsidR="000530F5" w:rsidRPr="00781F53" w:rsidRDefault="004C0F64" w:rsidP="00781F53">
            <w:pPr>
              <w:widowControl/>
              <w:autoSpaceDE/>
              <w:autoSpaceDN/>
              <w:spacing w:line="276" w:lineRule="auto"/>
              <w:jc w:val="center"/>
              <w:rPr>
                <w:rFonts w:ascii="Arial" w:eastAsia="Times New Roman" w:hAnsi="Arial" w:cs="Arial"/>
                <w:b/>
                <w:bCs/>
                <w:color w:val="404040"/>
                <w:sz w:val="16"/>
                <w:szCs w:val="16"/>
                <w:lang w:val="pt-PT" w:eastAsia="pl-PL"/>
              </w:rPr>
            </w:pPr>
            <w:r w:rsidRPr="00781F53">
              <w:rPr>
                <w:rFonts w:ascii="Arial" w:eastAsia="Times New Roman" w:hAnsi="Arial" w:cs="Arial"/>
                <w:b/>
                <w:bCs/>
                <w:color w:val="404040"/>
                <w:sz w:val="16"/>
                <w:szCs w:val="16"/>
                <w:lang w:val="pt-PT" w:eastAsia="pl-PL"/>
              </w:rPr>
              <w:t>-</w:t>
            </w:r>
          </w:p>
        </w:tc>
      </w:tr>
    </w:tbl>
    <w:p w14:paraId="3227C9BD" w14:textId="478E775F" w:rsidR="7CD69C3A" w:rsidRPr="00781F53" w:rsidRDefault="00E91000" w:rsidP="00781F53">
      <w:pPr>
        <w:widowControl/>
        <w:spacing w:after="160" w:line="276" w:lineRule="auto"/>
        <w:rPr>
          <w:rFonts w:ascii="Arial" w:hAnsi="Arial" w:cs="Arial"/>
          <w:b/>
          <w:bCs/>
          <w:color w:val="404040" w:themeColor="text1" w:themeTint="BF"/>
          <w:sz w:val="20"/>
          <w:szCs w:val="20"/>
          <w:lang w:val="pt-PT"/>
        </w:rPr>
      </w:pPr>
      <w:r>
        <w:rPr>
          <w:rFonts w:ascii="Arial" w:hAnsi="Arial" w:cs="Arial"/>
          <w:b/>
          <w:bCs/>
          <w:caps/>
          <w:color w:val="404040" w:themeColor="text1" w:themeTint="BF"/>
          <w:lang w:val="pt-PT"/>
        </w:rPr>
        <w:br/>
        <w:t>INFORMAÇÃO FINANCEIRA CONSOLIDADA</w:t>
      </w:r>
    </w:p>
    <w:p w14:paraId="34366EC3" w14:textId="1EB00888" w:rsidR="004C019C" w:rsidRDefault="004C019C" w:rsidP="00781F53">
      <w:pPr>
        <w:widowControl/>
        <w:spacing w:after="160" w:line="276" w:lineRule="auto"/>
        <w:rPr>
          <w:rFonts w:ascii="Arial" w:hAnsi="Arial" w:cs="Arial"/>
          <w:color w:val="404040" w:themeColor="text1" w:themeTint="BF"/>
          <w:sz w:val="18"/>
          <w:szCs w:val="18"/>
          <w:lang w:val="pt-PT"/>
        </w:rPr>
      </w:pPr>
      <w:r w:rsidRPr="004C019C">
        <w:rPr>
          <w:rFonts w:ascii="Arial" w:hAnsi="Arial" w:cs="Arial"/>
          <w:color w:val="404040" w:themeColor="text1" w:themeTint="BF"/>
          <w:sz w:val="18"/>
          <w:szCs w:val="18"/>
          <w:lang w:val="pt-PT"/>
        </w:rPr>
        <w:t>Os quadros seguintes apresentam a informação financeira consolidada selecionada d</w:t>
      </w:r>
      <w:r>
        <w:rPr>
          <w:rFonts w:ascii="Arial" w:hAnsi="Arial" w:cs="Arial"/>
          <w:color w:val="404040" w:themeColor="text1" w:themeTint="BF"/>
          <w:sz w:val="18"/>
          <w:szCs w:val="18"/>
          <w:lang w:val="pt-PT"/>
        </w:rPr>
        <w:t>a</w:t>
      </w:r>
      <w:r w:rsidRPr="004C019C">
        <w:rPr>
          <w:rFonts w:ascii="Arial" w:hAnsi="Arial" w:cs="Arial"/>
          <w:color w:val="404040" w:themeColor="text1" w:themeTint="BF"/>
          <w:sz w:val="18"/>
          <w:szCs w:val="18"/>
          <w:lang w:val="pt-PT"/>
        </w:rPr>
        <w:t xml:space="preserve"> </w:t>
      </w:r>
      <w:proofErr w:type="spellStart"/>
      <w:r w:rsidRPr="004C019C">
        <w:rPr>
          <w:rFonts w:ascii="Arial" w:hAnsi="Arial" w:cs="Arial"/>
          <w:color w:val="404040" w:themeColor="text1" w:themeTint="BF"/>
          <w:sz w:val="18"/>
          <w:szCs w:val="18"/>
          <w:lang w:val="pt-PT"/>
        </w:rPr>
        <w:t>InPost</w:t>
      </w:r>
      <w:proofErr w:type="spellEnd"/>
      <w:r w:rsidRPr="004C019C">
        <w:rPr>
          <w:rFonts w:ascii="Arial" w:hAnsi="Arial" w:cs="Arial"/>
          <w:color w:val="404040" w:themeColor="text1" w:themeTint="BF"/>
          <w:sz w:val="18"/>
          <w:szCs w:val="18"/>
          <w:lang w:val="pt-PT"/>
        </w:rPr>
        <w:t xml:space="preserve"> S.A a partir das datas e para o período indicado</w:t>
      </w:r>
      <w:r>
        <w:rPr>
          <w:rFonts w:ascii="Arial" w:hAnsi="Arial" w:cs="Arial"/>
          <w:color w:val="404040" w:themeColor="text1" w:themeTint="BF"/>
          <w:sz w:val="18"/>
          <w:szCs w:val="18"/>
          <w:lang w:val="pt-PT"/>
        </w:rPr>
        <w:t>.</w:t>
      </w:r>
    </w:p>
    <w:p w14:paraId="317F142E" w14:textId="4FA60432" w:rsidR="7CD69C3A" w:rsidRPr="00781F53" w:rsidRDefault="004C019C" w:rsidP="00781F53">
      <w:pPr>
        <w:widowControl/>
        <w:spacing w:after="160" w:line="276" w:lineRule="auto"/>
        <w:rPr>
          <w:rFonts w:ascii="Arial" w:hAnsi="Arial" w:cs="Arial"/>
          <w:b/>
          <w:color w:val="404040" w:themeColor="text1" w:themeTint="BF"/>
          <w:sz w:val="18"/>
          <w:szCs w:val="18"/>
          <w:lang w:val="pt-PT"/>
        </w:rPr>
      </w:pPr>
      <w:r w:rsidRPr="004C019C">
        <w:rPr>
          <w:rFonts w:ascii="Arial" w:hAnsi="Arial" w:cs="Arial"/>
          <w:b/>
          <w:color w:val="404040" w:themeColor="text1" w:themeTint="BF"/>
          <w:sz w:val="18"/>
          <w:szCs w:val="18"/>
          <w:lang w:val="pt-PT"/>
        </w:rPr>
        <w:t>Demonstração consolidada de ganhos ou perdas e outros rendimentos</w:t>
      </w:r>
    </w:p>
    <w:p w14:paraId="2D29A07B" w14:textId="77777777" w:rsidR="00A843AB" w:rsidRPr="00781F53" w:rsidRDefault="00A843AB" w:rsidP="00781F53">
      <w:pPr>
        <w:widowControl/>
        <w:spacing w:after="160" w:line="276" w:lineRule="auto"/>
        <w:rPr>
          <w:rFonts w:ascii="Arial" w:hAnsi="Arial" w:cs="Arial"/>
          <w:b/>
          <w:bCs/>
          <w:color w:val="404040" w:themeColor="text1" w:themeTint="BF"/>
          <w:sz w:val="18"/>
          <w:szCs w:val="18"/>
          <w:lang w:val="pt-PT"/>
        </w:rPr>
      </w:pPr>
    </w:p>
    <w:tbl>
      <w:tblPr>
        <w:tblW w:w="0" w:type="auto"/>
        <w:tblLook w:val="04A0" w:firstRow="1" w:lastRow="0" w:firstColumn="1" w:lastColumn="0" w:noHBand="0" w:noVBand="1"/>
      </w:tblPr>
      <w:tblGrid>
        <w:gridCol w:w="5080"/>
        <w:gridCol w:w="1740"/>
        <w:gridCol w:w="1680"/>
      </w:tblGrid>
      <w:tr w:rsidR="7CD69C3A" w:rsidRPr="00781F53" w14:paraId="2CE22CC2" w14:textId="77777777" w:rsidTr="43B0E146">
        <w:trPr>
          <w:trHeight w:val="300"/>
        </w:trPr>
        <w:tc>
          <w:tcPr>
            <w:tcW w:w="5080" w:type="dxa"/>
            <w:tcBorders>
              <w:top w:val="nil"/>
              <w:left w:val="nil"/>
              <w:bottom w:val="nil"/>
              <w:right w:val="nil"/>
            </w:tcBorders>
            <w:shd w:val="clear" w:color="auto" w:fill="FFCB04"/>
            <w:vAlign w:val="center"/>
          </w:tcPr>
          <w:p w14:paraId="45CDF322" w14:textId="280B8FCE" w:rsidR="000530F5" w:rsidRPr="00781F53" w:rsidRDefault="004C019C" w:rsidP="00781F53">
            <w:pPr>
              <w:widowControl/>
              <w:spacing w:line="276" w:lineRule="auto"/>
              <w:rPr>
                <w:rFonts w:ascii="Arial" w:eastAsia="Times New Roman" w:hAnsi="Arial" w:cs="Arial"/>
                <w:b/>
                <w:color w:val="404040" w:themeColor="text1" w:themeTint="BF"/>
                <w:sz w:val="16"/>
                <w:szCs w:val="16"/>
                <w:lang w:val="pt-PT" w:eastAsia="pl-PL"/>
              </w:rPr>
            </w:pPr>
            <w:r>
              <w:rPr>
                <w:rFonts w:ascii="Arial" w:eastAsia="Times New Roman" w:hAnsi="Arial" w:cs="Arial"/>
                <w:b/>
                <w:bCs/>
                <w:color w:val="404040"/>
                <w:sz w:val="14"/>
                <w:szCs w:val="14"/>
                <w:lang w:val="pt-PT" w:eastAsia="pl-PL"/>
              </w:rPr>
              <w:t xml:space="preserve">Milhões de zloty </w:t>
            </w:r>
            <w:proofErr w:type="gramStart"/>
            <w:r w:rsidRPr="00E91000">
              <w:rPr>
                <w:rFonts w:ascii="Arial" w:eastAsia="Times New Roman" w:hAnsi="Arial" w:cs="Arial"/>
                <w:b/>
                <w:bCs/>
                <w:color w:val="404040"/>
                <w:sz w:val="14"/>
                <w:szCs w:val="14"/>
                <w:lang w:val="pt-PT" w:eastAsia="pl-PL"/>
              </w:rPr>
              <w:t>salvo</w:t>
            </w:r>
            <w:proofErr w:type="gramEnd"/>
            <w:r w:rsidRPr="00E91000">
              <w:rPr>
                <w:rFonts w:ascii="Arial" w:eastAsia="Times New Roman" w:hAnsi="Arial" w:cs="Arial"/>
                <w:b/>
                <w:bCs/>
                <w:color w:val="404040"/>
                <w:sz w:val="14"/>
                <w:szCs w:val="14"/>
                <w:lang w:val="pt-PT" w:eastAsia="pl-PL"/>
              </w:rPr>
              <w:t xml:space="preserve"> indicação em contrário</w:t>
            </w:r>
          </w:p>
        </w:tc>
        <w:tc>
          <w:tcPr>
            <w:tcW w:w="1740" w:type="dxa"/>
            <w:tcBorders>
              <w:top w:val="nil"/>
              <w:left w:val="nil"/>
              <w:bottom w:val="nil"/>
              <w:right w:val="nil"/>
            </w:tcBorders>
            <w:shd w:val="clear" w:color="auto" w:fill="FFCB04"/>
            <w:vAlign w:val="center"/>
          </w:tcPr>
          <w:p w14:paraId="10B77C97" w14:textId="77777777" w:rsidR="000530F5" w:rsidRPr="00781F53" w:rsidRDefault="000530F5" w:rsidP="00781F53">
            <w:pPr>
              <w:widowControl/>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12M 2021</w:t>
            </w:r>
          </w:p>
        </w:tc>
        <w:tc>
          <w:tcPr>
            <w:tcW w:w="1680" w:type="dxa"/>
            <w:tcBorders>
              <w:top w:val="nil"/>
              <w:left w:val="nil"/>
              <w:bottom w:val="nil"/>
              <w:right w:val="nil"/>
            </w:tcBorders>
            <w:shd w:val="clear" w:color="auto" w:fill="FFCB04"/>
            <w:vAlign w:val="center"/>
          </w:tcPr>
          <w:p w14:paraId="266F9710" w14:textId="77777777" w:rsidR="000530F5" w:rsidRPr="00781F53" w:rsidRDefault="000530F5" w:rsidP="00781F53">
            <w:pPr>
              <w:widowControl/>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12M 2020</w:t>
            </w:r>
          </w:p>
        </w:tc>
      </w:tr>
      <w:tr w:rsidR="7CD69C3A" w:rsidRPr="00781F53" w14:paraId="1282E901" w14:textId="77777777" w:rsidTr="4A94AE94">
        <w:trPr>
          <w:trHeight w:val="248"/>
        </w:trPr>
        <w:tc>
          <w:tcPr>
            <w:tcW w:w="5080" w:type="dxa"/>
            <w:tcBorders>
              <w:top w:val="nil"/>
              <w:left w:val="nil"/>
              <w:bottom w:val="nil"/>
              <w:right w:val="nil"/>
            </w:tcBorders>
            <w:shd w:val="clear" w:color="auto" w:fill="D9D9D9" w:themeFill="background1" w:themeFillShade="D9"/>
            <w:vAlign w:val="center"/>
          </w:tcPr>
          <w:p w14:paraId="2DE7BA59" w14:textId="77777777" w:rsidR="000530F5" w:rsidRPr="00781F53" w:rsidRDefault="000530F5" w:rsidP="00781F53">
            <w:pPr>
              <w:widowControl/>
              <w:spacing w:line="276" w:lineRule="auto"/>
              <w:rPr>
                <w:rFonts w:ascii="Arial" w:eastAsia="Times New Roman" w:hAnsi="Arial" w:cs="Arial"/>
                <w:b/>
                <w:color w:val="404040" w:themeColor="text1" w:themeTint="BF"/>
                <w:sz w:val="16"/>
                <w:szCs w:val="16"/>
                <w:lang w:val="pt-PT" w:eastAsia="pl-PL"/>
              </w:rPr>
            </w:pPr>
            <w:proofErr w:type="spellStart"/>
            <w:r w:rsidRPr="00781F53">
              <w:rPr>
                <w:rFonts w:ascii="Arial" w:eastAsia="Times New Roman" w:hAnsi="Arial" w:cs="Arial"/>
                <w:b/>
                <w:color w:val="404040" w:themeColor="text1" w:themeTint="BF"/>
                <w:sz w:val="16"/>
                <w:szCs w:val="16"/>
                <w:lang w:val="pt-PT" w:eastAsia="pl-PL"/>
              </w:rPr>
              <w:t>Revenue</w:t>
            </w:r>
            <w:proofErr w:type="spellEnd"/>
          </w:p>
        </w:tc>
        <w:tc>
          <w:tcPr>
            <w:tcW w:w="1740" w:type="dxa"/>
            <w:tcBorders>
              <w:top w:val="nil"/>
              <w:left w:val="nil"/>
              <w:bottom w:val="nil"/>
              <w:right w:val="nil"/>
            </w:tcBorders>
            <w:shd w:val="clear" w:color="auto" w:fill="D9D9D9" w:themeFill="background1" w:themeFillShade="D9"/>
            <w:vAlign w:val="center"/>
          </w:tcPr>
          <w:p w14:paraId="52181710" w14:textId="7CFD4805" w:rsidR="000530F5" w:rsidRPr="00781F53" w:rsidRDefault="43B0E146" w:rsidP="00781F53">
            <w:pPr>
              <w:widowControl/>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 xml:space="preserve">4,581.9 </w:t>
            </w:r>
          </w:p>
        </w:tc>
        <w:tc>
          <w:tcPr>
            <w:tcW w:w="1680" w:type="dxa"/>
            <w:tcBorders>
              <w:top w:val="nil"/>
              <w:left w:val="nil"/>
              <w:bottom w:val="nil"/>
              <w:right w:val="nil"/>
            </w:tcBorders>
            <w:shd w:val="clear" w:color="auto" w:fill="D9D9D9" w:themeFill="background1" w:themeFillShade="D9"/>
            <w:vAlign w:val="center"/>
          </w:tcPr>
          <w:p w14:paraId="360D4D8F" w14:textId="177BD9F1" w:rsidR="000530F5" w:rsidRPr="00781F53" w:rsidRDefault="43B0E146" w:rsidP="00781F53">
            <w:pPr>
              <w:widowControl/>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2,513.8</w:t>
            </w:r>
          </w:p>
        </w:tc>
      </w:tr>
      <w:tr w:rsidR="7CD69C3A" w:rsidRPr="00781F53" w14:paraId="7EB9E872" w14:textId="77777777" w:rsidTr="4A94AE94">
        <w:trPr>
          <w:trHeight w:val="138"/>
        </w:trPr>
        <w:tc>
          <w:tcPr>
            <w:tcW w:w="5080" w:type="dxa"/>
            <w:tcBorders>
              <w:top w:val="nil"/>
              <w:left w:val="nil"/>
              <w:bottom w:val="nil"/>
              <w:right w:val="nil"/>
            </w:tcBorders>
            <w:shd w:val="clear" w:color="auto" w:fill="D9D9D9" w:themeFill="background1" w:themeFillShade="D9"/>
            <w:vAlign w:val="center"/>
          </w:tcPr>
          <w:p w14:paraId="467CDD92" w14:textId="67E483D8" w:rsidR="7CD69C3A" w:rsidRPr="00781F53" w:rsidRDefault="7CD69C3A" w:rsidP="00781F53">
            <w:pPr>
              <w:spacing w:line="276" w:lineRule="auto"/>
              <w:rPr>
                <w:rFonts w:ascii="Arial" w:hAnsi="Arial" w:cs="Arial"/>
                <w:b/>
                <w:color w:val="404040" w:themeColor="text1" w:themeTint="BF"/>
                <w:sz w:val="16"/>
                <w:szCs w:val="16"/>
                <w:lang w:val="pt-PT" w:eastAsia="pl-PL"/>
              </w:rPr>
            </w:pPr>
            <w:proofErr w:type="spellStart"/>
            <w:r w:rsidRPr="00781F53">
              <w:rPr>
                <w:rFonts w:ascii="Arial" w:hAnsi="Arial" w:cs="Arial"/>
                <w:b/>
                <w:color w:val="404040" w:themeColor="text1" w:themeTint="BF"/>
                <w:sz w:val="16"/>
                <w:szCs w:val="16"/>
                <w:lang w:val="pt-PT" w:eastAsia="pl-PL"/>
              </w:rPr>
              <w:t>Other</w:t>
            </w:r>
            <w:proofErr w:type="spellEnd"/>
            <w:r w:rsidRPr="00781F53">
              <w:rPr>
                <w:rFonts w:ascii="Arial" w:hAnsi="Arial" w:cs="Arial"/>
                <w:b/>
                <w:color w:val="404040" w:themeColor="text1" w:themeTint="BF"/>
                <w:sz w:val="16"/>
                <w:szCs w:val="16"/>
                <w:lang w:val="pt-PT" w:eastAsia="pl-PL"/>
              </w:rPr>
              <w:t xml:space="preserve"> </w:t>
            </w:r>
            <w:proofErr w:type="spellStart"/>
            <w:r w:rsidRPr="00781F53">
              <w:rPr>
                <w:rFonts w:ascii="Arial" w:hAnsi="Arial" w:cs="Arial"/>
                <w:b/>
                <w:color w:val="404040" w:themeColor="text1" w:themeTint="BF"/>
                <w:sz w:val="16"/>
                <w:szCs w:val="16"/>
                <w:lang w:val="pt-PT" w:eastAsia="pl-PL"/>
              </w:rPr>
              <w:t>operating</w:t>
            </w:r>
            <w:proofErr w:type="spellEnd"/>
            <w:r w:rsidRPr="00781F53">
              <w:rPr>
                <w:rFonts w:ascii="Arial" w:hAnsi="Arial" w:cs="Arial"/>
                <w:b/>
                <w:color w:val="404040" w:themeColor="text1" w:themeTint="BF"/>
                <w:sz w:val="16"/>
                <w:szCs w:val="16"/>
                <w:lang w:val="pt-PT" w:eastAsia="pl-PL"/>
              </w:rPr>
              <w:t xml:space="preserve"> </w:t>
            </w:r>
            <w:proofErr w:type="spellStart"/>
            <w:r w:rsidRPr="00781F53">
              <w:rPr>
                <w:rFonts w:ascii="Arial" w:hAnsi="Arial" w:cs="Arial"/>
                <w:b/>
                <w:color w:val="404040" w:themeColor="text1" w:themeTint="BF"/>
                <w:sz w:val="16"/>
                <w:szCs w:val="16"/>
                <w:lang w:val="pt-PT" w:eastAsia="pl-PL"/>
              </w:rPr>
              <w:t>income</w:t>
            </w:r>
            <w:proofErr w:type="spellEnd"/>
          </w:p>
        </w:tc>
        <w:tc>
          <w:tcPr>
            <w:tcW w:w="1740" w:type="dxa"/>
            <w:tcBorders>
              <w:top w:val="nil"/>
              <w:left w:val="nil"/>
              <w:bottom w:val="nil"/>
              <w:right w:val="nil"/>
            </w:tcBorders>
            <w:shd w:val="clear" w:color="auto" w:fill="D9D9D9" w:themeFill="background1" w:themeFillShade="D9"/>
            <w:vAlign w:val="center"/>
          </w:tcPr>
          <w:p w14:paraId="624DCAAE" w14:textId="7C057B63" w:rsidR="7CD69C3A" w:rsidRPr="00781F53" w:rsidRDefault="43B0E146"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 xml:space="preserve">20.3 </w:t>
            </w:r>
          </w:p>
        </w:tc>
        <w:tc>
          <w:tcPr>
            <w:tcW w:w="1680" w:type="dxa"/>
            <w:tcBorders>
              <w:top w:val="nil"/>
              <w:left w:val="nil"/>
              <w:bottom w:val="nil"/>
              <w:right w:val="nil"/>
            </w:tcBorders>
            <w:shd w:val="clear" w:color="auto" w:fill="D9D9D9" w:themeFill="background1" w:themeFillShade="D9"/>
            <w:vAlign w:val="center"/>
          </w:tcPr>
          <w:p w14:paraId="329595C6" w14:textId="355D1A2E" w:rsidR="7CD69C3A" w:rsidRPr="00781F53" w:rsidRDefault="43B0E146"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14.3</w:t>
            </w:r>
          </w:p>
        </w:tc>
      </w:tr>
      <w:tr w:rsidR="7CD69C3A" w:rsidRPr="00781F53" w14:paraId="693DCC29" w14:textId="77777777" w:rsidTr="4A94AE94">
        <w:trPr>
          <w:trHeight w:val="113"/>
        </w:trPr>
        <w:tc>
          <w:tcPr>
            <w:tcW w:w="5080" w:type="dxa"/>
            <w:tcBorders>
              <w:top w:val="nil"/>
              <w:left w:val="nil"/>
              <w:bottom w:val="nil"/>
              <w:right w:val="nil"/>
            </w:tcBorders>
            <w:shd w:val="clear" w:color="auto" w:fill="FFFFFF" w:themeFill="background1"/>
            <w:vAlign w:val="center"/>
          </w:tcPr>
          <w:p w14:paraId="0C39BB98" w14:textId="3EFBF226" w:rsidR="7CD69C3A" w:rsidRPr="00781F53" w:rsidRDefault="7CD69C3A" w:rsidP="00781F53">
            <w:pPr>
              <w:widowControl/>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Depreciation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amortisation</w:t>
            </w:r>
            <w:proofErr w:type="spellEnd"/>
          </w:p>
        </w:tc>
        <w:tc>
          <w:tcPr>
            <w:tcW w:w="1740" w:type="dxa"/>
            <w:tcBorders>
              <w:top w:val="nil"/>
              <w:left w:val="nil"/>
              <w:bottom w:val="nil"/>
              <w:right w:val="nil"/>
            </w:tcBorders>
            <w:shd w:val="clear" w:color="auto" w:fill="FFFFFF" w:themeFill="background1"/>
            <w:vAlign w:val="center"/>
          </w:tcPr>
          <w:p w14:paraId="6230A490" w14:textId="2124A975" w:rsidR="000530F5" w:rsidRPr="00781F53" w:rsidRDefault="43B0E146"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609.7</w:t>
            </w:r>
          </w:p>
        </w:tc>
        <w:tc>
          <w:tcPr>
            <w:tcW w:w="1680" w:type="dxa"/>
            <w:tcBorders>
              <w:top w:val="nil"/>
              <w:left w:val="nil"/>
              <w:bottom w:val="nil"/>
              <w:right w:val="nil"/>
            </w:tcBorders>
            <w:shd w:val="clear" w:color="auto" w:fill="FFFFFF" w:themeFill="background1"/>
            <w:vAlign w:val="center"/>
          </w:tcPr>
          <w:p w14:paraId="075EEDDE" w14:textId="1564E1F0" w:rsidR="000530F5" w:rsidRPr="00781F53" w:rsidRDefault="43B0E146"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356.1</w:t>
            </w:r>
          </w:p>
        </w:tc>
      </w:tr>
      <w:tr w:rsidR="7CD69C3A" w:rsidRPr="00781F53" w14:paraId="1314C0FE" w14:textId="77777777" w:rsidTr="4A94AE94">
        <w:trPr>
          <w:trHeight w:val="103"/>
        </w:trPr>
        <w:tc>
          <w:tcPr>
            <w:tcW w:w="5080" w:type="dxa"/>
            <w:tcBorders>
              <w:top w:val="nil"/>
              <w:left w:val="nil"/>
              <w:bottom w:val="nil"/>
              <w:right w:val="nil"/>
            </w:tcBorders>
            <w:shd w:val="clear" w:color="auto" w:fill="FFFFFF" w:themeFill="background1"/>
            <w:vAlign w:val="center"/>
          </w:tcPr>
          <w:p w14:paraId="2F20F4BB" w14:textId="223FA013" w:rsidR="7CD69C3A" w:rsidRPr="00781F53" w:rsidRDefault="7CD69C3A"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Raw</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materials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consumables</w:t>
            </w:r>
            <w:proofErr w:type="spellEnd"/>
          </w:p>
        </w:tc>
        <w:tc>
          <w:tcPr>
            <w:tcW w:w="1740" w:type="dxa"/>
            <w:tcBorders>
              <w:top w:val="nil"/>
              <w:left w:val="nil"/>
              <w:bottom w:val="nil"/>
              <w:right w:val="nil"/>
            </w:tcBorders>
            <w:shd w:val="clear" w:color="auto" w:fill="FFFFFF" w:themeFill="background1"/>
            <w:vAlign w:val="center"/>
          </w:tcPr>
          <w:p w14:paraId="33DDA3D6" w14:textId="357AE752"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89.2</w:t>
            </w:r>
          </w:p>
        </w:tc>
        <w:tc>
          <w:tcPr>
            <w:tcW w:w="1680" w:type="dxa"/>
            <w:tcBorders>
              <w:top w:val="nil"/>
              <w:left w:val="nil"/>
              <w:bottom w:val="nil"/>
              <w:right w:val="nil"/>
            </w:tcBorders>
            <w:shd w:val="clear" w:color="auto" w:fill="FFFFFF" w:themeFill="background1"/>
            <w:vAlign w:val="center"/>
          </w:tcPr>
          <w:p w14:paraId="7144781D" w14:textId="22EC41FA"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43.5</w:t>
            </w:r>
          </w:p>
        </w:tc>
      </w:tr>
      <w:tr w:rsidR="7CD69C3A" w:rsidRPr="00781F53" w14:paraId="3589CF07" w14:textId="77777777" w:rsidTr="4A94AE94">
        <w:trPr>
          <w:trHeight w:val="221"/>
        </w:trPr>
        <w:tc>
          <w:tcPr>
            <w:tcW w:w="5080" w:type="dxa"/>
            <w:tcBorders>
              <w:top w:val="nil"/>
              <w:left w:val="nil"/>
              <w:bottom w:val="nil"/>
              <w:right w:val="nil"/>
            </w:tcBorders>
            <w:shd w:val="clear" w:color="auto" w:fill="FFFFFF" w:themeFill="background1"/>
            <w:vAlign w:val="center"/>
          </w:tcPr>
          <w:p w14:paraId="4D59DB84" w14:textId="5A1C3DFC" w:rsidR="7CD69C3A" w:rsidRPr="00781F53" w:rsidRDefault="5AC51536"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External</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services</w:t>
            </w:r>
            <w:proofErr w:type="spellEnd"/>
          </w:p>
        </w:tc>
        <w:tc>
          <w:tcPr>
            <w:tcW w:w="1740" w:type="dxa"/>
            <w:tcBorders>
              <w:top w:val="nil"/>
              <w:left w:val="nil"/>
              <w:bottom w:val="nil"/>
              <w:right w:val="nil"/>
            </w:tcBorders>
            <w:shd w:val="clear" w:color="auto" w:fill="FFFFFF" w:themeFill="background1"/>
            <w:vAlign w:val="center"/>
          </w:tcPr>
          <w:p w14:paraId="01B7FB48" w14:textId="7FF97E7F"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2,407.6</w:t>
            </w:r>
          </w:p>
        </w:tc>
        <w:tc>
          <w:tcPr>
            <w:tcW w:w="1680" w:type="dxa"/>
            <w:tcBorders>
              <w:top w:val="nil"/>
              <w:left w:val="nil"/>
              <w:bottom w:val="nil"/>
              <w:right w:val="nil"/>
            </w:tcBorders>
            <w:shd w:val="clear" w:color="auto" w:fill="FFFFFF" w:themeFill="background1"/>
            <w:vAlign w:val="center"/>
          </w:tcPr>
          <w:p w14:paraId="02C26297" w14:textId="767D72F0"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1,228.1</w:t>
            </w:r>
          </w:p>
        </w:tc>
      </w:tr>
      <w:tr w:rsidR="7CD69C3A" w:rsidRPr="00781F53" w14:paraId="480E9890" w14:textId="77777777" w:rsidTr="4A94AE94">
        <w:trPr>
          <w:trHeight w:val="153"/>
        </w:trPr>
        <w:tc>
          <w:tcPr>
            <w:tcW w:w="5080" w:type="dxa"/>
            <w:tcBorders>
              <w:top w:val="nil"/>
              <w:left w:val="nil"/>
              <w:bottom w:val="nil"/>
              <w:right w:val="nil"/>
            </w:tcBorders>
            <w:shd w:val="clear" w:color="auto" w:fill="FFFFFF" w:themeFill="background1"/>
            <w:vAlign w:val="center"/>
          </w:tcPr>
          <w:p w14:paraId="1AAD16BD" w14:textId="64F00364" w:rsidR="7CD69C3A" w:rsidRPr="00781F53" w:rsidRDefault="0B2CB696" w:rsidP="00781F53">
            <w:pPr>
              <w:spacing w:line="276" w:lineRule="auto"/>
              <w:ind w:left="314"/>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Taxes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charges</w:t>
            </w:r>
            <w:proofErr w:type="spellEnd"/>
          </w:p>
        </w:tc>
        <w:tc>
          <w:tcPr>
            <w:tcW w:w="1740" w:type="dxa"/>
            <w:tcBorders>
              <w:top w:val="nil"/>
              <w:left w:val="nil"/>
              <w:bottom w:val="nil"/>
              <w:right w:val="nil"/>
            </w:tcBorders>
            <w:shd w:val="clear" w:color="auto" w:fill="FFFFFF" w:themeFill="background1"/>
            <w:vAlign w:val="center"/>
          </w:tcPr>
          <w:p w14:paraId="5C10201C" w14:textId="21F4BA82"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9.8</w:t>
            </w:r>
          </w:p>
        </w:tc>
        <w:tc>
          <w:tcPr>
            <w:tcW w:w="1680" w:type="dxa"/>
            <w:tcBorders>
              <w:top w:val="nil"/>
              <w:left w:val="nil"/>
              <w:bottom w:val="nil"/>
              <w:right w:val="nil"/>
            </w:tcBorders>
            <w:shd w:val="clear" w:color="auto" w:fill="FFFFFF" w:themeFill="background1"/>
            <w:vAlign w:val="center"/>
          </w:tcPr>
          <w:p w14:paraId="3F19FA3C" w14:textId="5B868641"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2.1</w:t>
            </w:r>
          </w:p>
        </w:tc>
      </w:tr>
      <w:tr w:rsidR="7CD69C3A" w:rsidRPr="00781F53" w14:paraId="163B4BCE" w14:textId="77777777" w:rsidTr="4A94AE94">
        <w:trPr>
          <w:trHeight w:val="201"/>
        </w:trPr>
        <w:tc>
          <w:tcPr>
            <w:tcW w:w="5080" w:type="dxa"/>
            <w:tcBorders>
              <w:top w:val="nil"/>
              <w:left w:val="nil"/>
              <w:bottom w:val="nil"/>
              <w:right w:val="nil"/>
            </w:tcBorders>
            <w:shd w:val="clear" w:color="auto" w:fill="FFFFFF" w:themeFill="background1"/>
            <w:vAlign w:val="center"/>
          </w:tcPr>
          <w:p w14:paraId="2F3D5739" w14:textId="53EDDF41" w:rsidR="7CD69C3A" w:rsidRPr="00781F53" w:rsidRDefault="0B2CB696"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Payroll</w:t>
            </w:r>
            <w:proofErr w:type="spellEnd"/>
          </w:p>
        </w:tc>
        <w:tc>
          <w:tcPr>
            <w:tcW w:w="1740" w:type="dxa"/>
            <w:tcBorders>
              <w:top w:val="nil"/>
              <w:left w:val="nil"/>
              <w:bottom w:val="nil"/>
              <w:right w:val="nil"/>
            </w:tcBorders>
            <w:shd w:val="clear" w:color="auto" w:fill="FFFFFF" w:themeFill="background1"/>
            <w:vAlign w:val="center"/>
          </w:tcPr>
          <w:p w14:paraId="00E3A877" w14:textId="63BFE7B3"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493.1</w:t>
            </w:r>
          </w:p>
        </w:tc>
        <w:tc>
          <w:tcPr>
            <w:tcW w:w="1680" w:type="dxa"/>
            <w:tcBorders>
              <w:top w:val="nil"/>
              <w:left w:val="nil"/>
              <w:bottom w:val="nil"/>
              <w:right w:val="nil"/>
            </w:tcBorders>
            <w:shd w:val="clear" w:color="auto" w:fill="FFFFFF" w:themeFill="background1"/>
            <w:vAlign w:val="center"/>
          </w:tcPr>
          <w:p w14:paraId="5C67F388" w14:textId="533B3310"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200.5</w:t>
            </w:r>
          </w:p>
        </w:tc>
      </w:tr>
      <w:tr w:rsidR="7CD69C3A" w:rsidRPr="00781F53" w14:paraId="1597FC8C" w14:textId="77777777" w:rsidTr="4A94AE94">
        <w:trPr>
          <w:trHeight w:val="80"/>
        </w:trPr>
        <w:tc>
          <w:tcPr>
            <w:tcW w:w="5080" w:type="dxa"/>
            <w:tcBorders>
              <w:top w:val="nil"/>
              <w:left w:val="nil"/>
              <w:bottom w:val="nil"/>
              <w:right w:val="nil"/>
            </w:tcBorders>
            <w:shd w:val="clear" w:color="auto" w:fill="FFFFFF" w:themeFill="background1"/>
            <w:vAlign w:val="center"/>
          </w:tcPr>
          <w:p w14:paraId="01837BCF" w14:textId="25DE431B" w:rsidR="7CD69C3A" w:rsidRPr="00781F53" w:rsidRDefault="0B2CB696" w:rsidP="00781F53">
            <w:pPr>
              <w:spacing w:line="276" w:lineRule="auto"/>
              <w:ind w:left="314"/>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Social </w:t>
            </w:r>
            <w:proofErr w:type="spellStart"/>
            <w:r w:rsidRPr="00781F53">
              <w:rPr>
                <w:rFonts w:ascii="Arial" w:eastAsia="Times New Roman" w:hAnsi="Arial" w:cs="Arial"/>
                <w:color w:val="404040" w:themeColor="text1" w:themeTint="BF"/>
                <w:sz w:val="16"/>
                <w:szCs w:val="16"/>
                <w:lang w:val="pt-PT" w:eastAsia="pl-PL"/>
              </w:rPr>
              <w:t>security</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benefits</w:t>
            </w:r>
            <w:proofErr w:type="spellEnd"/>
          </w:p>
        </w:tc>
        <w:tc>
          <w:tcPr>
            <w:tcW w:w="1740" w:type="dxa"/>
            <w:tcBorders>
              <w:top w:val="nil"/>
              <w:left w:val="nil"/>
              <w:bottom w:val="nil"/>
              <w:right w:val="nil"/>
            </w:tcBorders>
            <w:shd w:val="clear" w:color="auto" w:fill="FFFFFF" w:themeFill="background1"/>
            <w:vAlign w:val="center"/>
          </w:tcPr>
          <w:p w14:paraId="3951BCEF" w14:textId="495F276D"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100.4</w:t>
            </w:r>
          </w:p>
        </w:tc>
        <w:tc>
          <w:tcPr>
            <w:tcW w:w="1680" w:type="dxa"/>
            <w:tcBorders>
              <w:top w:val="nil"/>
              <w:left w:val="nil"/>
              <w:bottom w:val="nil"/>
              <w:right w:val="nil"/>
            </w:tcBorders>
            <w:shd w:val="clear" w:color="auto" w:fill="FFFFFF" w:themeFill="background1"/>
            <w:vAlign w:val="center"/>
          </w:tcPr>
          <w:p w14:paraId="44C73D59" w14:textId="4296FE18"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44.8</w:t>
            </w:r>
          </w:p>
        </w:tc>
      </w:tr>
      <w:tr w:rsidR="7CD69C3A" w:rsidRPr="00781F53" w14:paraId="78C5FB97" w14:textId="77777777" w:rsidTr="4A94AE94">
        <w:trPr>
          <w:trHeight w:val="189"/>
        </w:trPr>
        <w:tc>
          <w:tcPr>
            <w:tcW w:w="5080" w:type="dxa"/>
            <w:tcBorders>
              <w:top w:val="nil"/>
              <w:left w:val="nil"/>
              <w:bottom w:val="nil"/>
              <w:right w:val="nil"/>
            </w:tcBorders>
            <w:shd w:val="clear" w:color="auto" w:fill="FFFFFF" w:themeFill="background1"/>
            <w:vAlign w:val="center"/>
          </w:tcPr>
          <w:p w14:paraId="160D013F" w14:textId="6D3B884E" w:rsidR="7CD69C3A" w:rsidRPr="00781F53" w:rsidRDefault="0B2CB696"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expenses</w:t>
            </w:r>
            <w:proofErr w:type="spellEnd"/>
          </w:p>
        </w:tc>
        <w:tc>
          <w:tcPr>
            <w:tcW w:w="1740" w:type="dxa"/>
            <w:tcBorders>
              <w:top w:val="nil"/>
              <w:left w:val="nil"/>
              <w:bottom w:val="nil"/>
              <w:right w:val="nil"/>
            </w:tcBorders>
            <w:shd w:val="clear" w:color="auto" w:fill="FFFFFF" w:themeFill="background1"/>
            <w:vAlign w:val="center"/>
          </w:tcPr>
          <w:p w14:paraId="7ED93D5A" w14:textId="36E2842E"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30.2</w:t>
            </w:r>
          </w:p>
        </w:tc>
        <w:tc>
          <w:tcPr>
            <w:tcW w:w="1680" w:type="dxa"/>
            <w:tcBorders>
              <w:top w:val="nil"/>
              <w:left w:val="nil"/>
              <w:bottom w:val="nil"/>
              <w:right w:val="nil"/>
            </w:tcBorders>
            <w:shd w:val="clear" w:color="auto" w:fill="FFFFFF" w:themeFill="background1"/>
            <w:vAlign w:val="center"/>
          </w:tcPr>
          <w:p w14:paraId="13E64913" w14:textId="00259127"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12.5</w:t>
            </w:r>
          </w:p>
        </w:tc>
      </w:tr>
      <w:tr w:rsidR="7CD69C3A" w:rsidRPr="00781F53" w14:paraId="41242D60" w14:textId="77777777" w:rsidTr="4A94AE94">
        <w:trPr>
          <w:trHeight w:val="164"/>
        </w:trPr>
        <w:tc>
          <w:tcPr>
            <w:tcW w:w="5080" w:type="dxa"/>
            <w:tcBorders>
              <w:top w:val="nil"/>
              <w:left w:val="nil"/>
              <w:bottom w:val="nil"/>
              <w:right w:val="nil"/>
            </w:tcBorders>
            <w:shd w:val="clear" w:color="auto" w:fill="FFFFFF" w:themeFill="background1"/>
            <w:vAlign w:val="center"/>
          </w:tcPr>
          <w:p w14:paraId="7BA088E5" w14:textId="664B12EA" w:rsidR="7CD69C3A" w:rsidRPr="00781F53" w:rsidRDefault="0B2CB696"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Cost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good</w:t>
            </w:r>
            <w:r w:rsidR="47883E44" w:rsidRPr="00781F53">
              <w:rPr>
                <w:rFonts w:ascii="Arial" w:eastAsia="Times New Roman" w:hAnsi="Arial" w:cs="Arial"/>
                <w:color w:val="404040" w:themeColor="text1" w:themeTint="BF"/>
                <w:sz w:val="16"/>
                <w:szCs w:val="16"/>
                <w:lang w:val="pt-PT" w:eastAsia="pl-PL"/>
              </w:rPr>
              <w:t>s</w:t>
            </w:r>
            <w:proofErr w:type="spellEnd"/>
            <w:r w:rsidR="47883E44" w:rsidRPr="00781F53">
              <w:rPr>
                <w:rFonts w:ascii="Arial" w:eastAsia="Times New Roman" w:hAnsi="Arial" w:cs="Arial"/>
                <w:color w:val="404040" w:themeColor="text1" w:themeTint="BF"/>
                <w:sz w:val="16"/>
                <w:szCs w:val="16"/>
                <w:lang w:val="pt-PT" w:eastAsia="pl-PL"/>
              </w:rPr>
              <w:t xml:space="preserve"> </w:t>
            </w:r>
            <w:proofErr w:type="spellStart"/>
            <w:r w:rsidR="47883E44" w:rsidRPr="00781F53">
              <w:rPr>
                <w:rFonts w:ascii="Arial" w:eastAsia="Times New Roman" w:hAnsi="Arial" w:cs="Arial"/>
                <w:color w:val="404040" w:themeColor="text1" w:themeTint="BF"/>
                <w:sz w:val="16"/>
                <w:szCs w:val="16"/>
                <w:lang w:val="pt-PT" w:eastAsia="pl-PL"/>
              </w:rPr>
              <w:t>and</w:t>
            </w:r>
            <w:proofErr w:type="spellEnd"/>
            <w:r w:rsidR="47883E44" w:rsidRPr="00781F53">
              <w:rPr>
                <w:rFonts w:ascii="Arial" w:eastAsia="Times New Roman" w:hAnsi="Arial" w:cs="Arial"/>
                <w:color w:val="404040" w:themeColor="text1" w:themeTint="BF"/>
                <w:sz w:val="16"/>
                <w:szCs w:val="16"/>
                <w:lang w:val="pt-PT" w:eastAsia="pl-PL"/>
              </w:rPr>
              <w:t xml:space="preserve"> </w:t>
            </w:r>
            <w:proofErr w:type="spellStart"/>
            <w:r w:rsidR="47883E44" w:rsidRPr="00781F53">
              <w:rPr>
                <w:rFonts w:ascii="Arial" w:eastAsia="Times New Roman" w:hAnsi="Arial" w:cs="Arial"/>
                <w:color w:val="404040" w:themeColor="text1" w:themeTint="BF"/>
                <w:sz w:val="16"/>
                <w:szCs w:val="16"/>
                <w:lang w:val="pt-PT" w:eastAsia="pl-PL"/>
              </w:rPr>
              <w:t>materials</w:t>
            </w:r>
            <w:proofErr w:type="spellEnd"/>
            <w:r w:rsidR="47883E44" w:rsidRPr="00781F53">
              <w:rPr>
                <w:rFonts w:ascii="Arial" w:eastAsia="Times New Roman" w:hAnsi="Arial" w:cs="Arial"/>
                <w:color w:val="404040" w:themeColor="text1" w:themeTint="BF"/>
                <w:sz w:val="16"/>
                <w:szCs w:val="16"/>
                <w:lang w:val="pt-PT" w:eastAsia="pl-PL"/>
              </w:rPr>
              <w:t xml:space="preserve"> </w:t>
            </w:r>
            <w:proofErr w:type="spellStart"/>
            <w:r w:rsidR="47883E44" w:rsidRPr="00781F53">
              <w:rPr>
                <w:rFonts w:ascii="Arial" w:eastAsia="Times New Roman" w:hAnsi="Arial" w:cs="Arial"/>
                <w:color w:val="404040" w:themeColor="text1" w:themeTint="BF"/>
                <w:sz w:val="16"/>
                <w:szCs w:val="16"/>
                <w:lang w:val="pt-PT" w:eastAsia="pl-PL"/>
              </w:rPr>
              <w:t>sold</w:t>
            </w:r>
            <w:proofErr w:type="spellEnd"/>
          </w:p>
        </w:tc>
        <w:tc>
          <w:tcPr>
            <w:tcW w:w="1740" w:type="dxa"/>
            <w:tcBorders>
              <w:top w:val="nil"/>
              <w:left w:val="nil"/>
              <w:bottom w:val="nil"/>
              <w:right w:val="nil"/>
            </w:tcBorders>
            <w:shd w:val="clear" w:color="auto" w:fill="FFFFFF" w:themeFill="background1"/>
            <w:vAlign w:val="center"/>
          </w:tcPr>
          <w:p w14:paraId="35102EBF" w14:textId="347ABF13"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14.3</w:t>
            </w:r>
          </w:p>
        </w:tc>
        <w:tc>
          <w:tcPr>
            <w:tcW w:w="1680" w:type="dxa"/>
            <w:tcBorders>
              <w:top w:val="nil"/>
              <w:left w:val="nil"/>
              <w:bottom w:val="nil"/>
              <w:right w:val="nil"/>
            </w:tcBorders>
            <w:shd w:val="clear" w:color="auto" w:fill="FFFFFF" w:themeFill="background1"/>
            <w:vAlign w:val="center"/>
          </w:tcPr>
          <w:p w14:paraId="1A8B3B45" w14:textId="06855418"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10.2</w:t>
            </w:r>
          </w:p>
        </w:tc>
      </w:tr>
      <w:tr w:rsidR="7CD69C3A" w:rsidRPr="00781F53" w14:paraId="69A19E7E" w14:textId="77777777" w:rsidTr="4A94AE94">
        <w:trPr>
          <w:trHeight w:val="164"/>
        </w:trPr>
        <w:tc>
          <w:tcPr>
            <w:tcW w:w="5080" w:type="dxa"/>
            <w:tcBorders>
              <w:top w:val="nil"/>
              <w:left w:val="nil"/>
              <w:bottom w:val="nil"/>
              <w:right w:val="nil"/>
            </w:tcBorders>
            <w:shd w:val="clear" w:color="auto" w:fill="FFFFFF" w:themeFill="background1"/>
            <w:vAlign w:val="center"/>
          </w:tcPr>
          <w:p w14:paraId="4C73D2E2" w14:textId="7CBD3FF5" w:rsidR="7CD69C3A" w:rsidRPr="00781F53" w:rsidRDefault="47883E44"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operating</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expenses</w:t>
            </w:r>
            <w:proofErr w:type="spellEnd"/>
          </w:p>
        </w:tc>
        <w:tc>
          <w:tcPr>
            <w:tcW w:w="1740" w:type="dxa"/>
            <w:tcBorders>
              <w:top w:val="nil"/>
              <w:left w:val="nil"/>
              <w:bottom w:val="nil"/>
              <w:right w:val="nil"/>
            </w:tcBorders>
            <w:shd w:val="clear" w:color="auto" w:fill="FFFFFF" w:themeFill="background1"/>
            <w:vAlign w:val="center"/>
          </w:tcPr>
          <w:p w14:paraId="62276D8B" w14:textId="5A1FCC0A"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15.1</w:t>
            </w:r>
          </w:p>
        </w:tc>
        <w:tc>
          <w:tcPr>
            <w:tcW w:w="1680" w:type="dxa"/>
            <w:tcBorders>
              <w:top w:val="nil"/>
              <w:left w:val="nil"/>
              <w:bottom w:val="nil"/>
              <w:right w:val="nil"/>
            </w:tcBorders>
            <w:shd w:val="clear" w:color="auto" w:fill="FFFFFF" w:themeFill="background1"/>
            <w:vAlign w:val="center"/>
          </w:tcPr>
          <w:p w14:paraId="09F013B9" w14:textId="12AAEC14"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6.7</w:t>
            </w:r>
          </w:p>
        </w:tc>
      </w:tr>
      <w:tr w:rsidR="7CD69C3A" w:rsidRPr="00781F53" w14:paraId="4425A6E7" w14:textId="77777777" w:rsidTr="4A94AE94">
        <w:trPr>
          <w:trHeight w:val="108"/>
        </w:trPr>
        <w:tc>
          <w:tcPr>
            <w:tcW w:w="5080" w:type="dxa"/>
            <w:tcBorders>
              <w:top w:val="nil"/>
              <w:left w:val="nil"/>
              <w:bottom w:val="nil"/>
              <w:right w:val="nil"/>
            </w:tcBorders>
            <w:shd w:val="clear" w:color="auto" w:fill="FFFFFF" w:themeFill="background1"/>
            <w:vAlign w:val="center"/>
          </w:tcPr>
          <w:p w14:paraId="7A30E6BC" w14:textId="27684BF7" w:rsidR="7CD69C3A" w:rsidRPr="00781F53" w:rsidRDefault="47883E44"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Impairment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gain/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loss</w:t>
            </w:r>
            <w:proofErr w:type="spellEnd"/>
            <w:r w:rsidR="7867A357" w:rsidRPr="00781F53">
              <w:rPr>
                <w:rFonts w:ascii="Arial" w:eastAsia="Times New Roman" w:hAnsi="Arial" w:cs="Arial"/>
                <w:color w:val="404040" w:themeColor="text1" w:themeTint="BF"/>
                <w:sz w:val="16"/>
                <w:szCs w:val="16"/>
                <w:lang w:val="pt-PT" w:eastAsia="pl-PL"/>
              </w:rPr>
              <w:t xml:space="preserve">) </w:t>
            </w:r>
            <w:proofErr w:type="spellStart"/>
            <w:r w:rsidR="7867A357" w:rsidRPr="00781F53">
              <w:rPr>
                <w:rFonts w:ascii="Arial" w:eastAsia="Times New Roman" w:hAnsi="Arial" w:cs="Arial"/>
                <w:color w:val="404040" w:themeColor="text1" w:themeTint="BF"/>
                <w:sz w:val="16"/>
                <w:szCs w:val="16"/>
                <w:lang w:val="pt-PT" w:eastAsia="pl-PL"/>
              </w:rPr>
              <w:t>on</w:t>
            </w:r>
            <w:proofErr w:type="spellEnd"/>
            <w:r w:rsidR="7867A357" w:rsidRPr="00781F53">
              <w:rPr>
                <w:rFonts w:ascii="Arial" w:eastAsia="Times New Roman" w:hAnsi="Arial" w:cs="Arial"/>
                <w:color w:val="404040" w:themeColor="text1" w:themeTint="BF"/>
                <w:sz w:val="16"/>
                <w:szCs w:val="16"/>
                <w:lang w:val="pt-PT" w:eastAsia="pl-PL"/>
              </w:rPr>
              <w:t xml:space="preserve"> </w:t>
            </w:r>
            <w:proofErr w:type="spellStart"/>
            <w:r w:rsidR="7867A357" w:rsidRPr="00781F53">
              <w:rPr>
                <w:rFonts w:ascii="Arial" w:eastAsia="Times New Roman" w:hAnsi="Arial" w:cs="Arial"/>
                <w:color w:val="404040" w:themeColor="text1" w:themeTint="BF"/>
                <w:sz w:val="16"/>
                <w:szCs w:val="16"/>
                <w:lang w:val="pt-PT" w:eastAsia="pl-PL"/>
              </w:rPr>
              <w:t>trade</w:t>
            </w:r>
            <w:proofErr w:type="spellEnd"/>
            <w:r w:rsidR="7867A357" w:rsidRPr="00781F53">
              <w:rPr>
                <w:rFonts w:ascii="Arial" w:eastAsia="Times New Roman" w:hAnsi="Arial" w:cs="Arial"/>
                <w:color w:val="404040" w:themeColor="text1" w:themeTint="BF"/>
                <w:sz w:val="16"/>
                <w:szCs w:val="16"/>
                <w:lang w:val="pt-PT" w:eastAsia="pl-PL"/>
              </w:rPr>
              <w:t xml:space="preserve"> </w:t>
            </w:r>
            <w:proofErr w:type="spellStart"/>
            <w:r w:rsidR="7867A357" w:rsidRPr="00781F53">
              <w:rPr>
                <w:rFonts w:ascii="Arial" w:eastAsia="Times New Roman" w:hAnsi="Arial" w:cs="Arial"/>
                <w:color w:val="404040" w:themeColor="text1" w:themeTint="BF"/>
                <w:sz w:val="16"/>
                <w:szCs w:val="16"/>
                <w:lang w:val="pt-PT" w:eastAsia="pl-PL"/>
              </w:rPr>
              <w:t>and</w:t>
            </w:r>
            <w:proofErr w:type="spellEnd"/>
            <w:r w:rsidR="7867A357" w:rsidRPr="00781F53">
              <w:rPr>
                <w:rFonts w:ascii="Arial" w:eastAsia="Times New Roman" w:hAnsi="Arial" w:cs="Arial"/>
                <w:color w:val="404040" w:themeColor="text1" w:themeTint="BF"/>
                <w:sz w:val="16"/>
                <w:szCs w:val="16"/>
                <w:lang w:val="pt-PT" w:eastAsia="pl-PL"/>
              </w:rPr>
              <w:t xml:space="preserve"> </w:t>
            </w:r>
            <w:proofErr w:type="spellStart"/>
            <w:r w:rsidR="7867A357" w:rsidRPr="00781F53">
              <w:rPr>
                <w:rFonts w:ascii="Arial" w:eastAsia="Times New Roman" w:hAnsi="Arial" w:cs="Arial"/>
                <w:color w:val="404040" w:themeColor="text1" w:themeTint="BF"/>
                <w:sz w:val="16"/>
                <w:szCs w:val="16"/>
                <w:lang w:val="pt-PT" w:eastAsia="pl-PL"/>
              </w:rPr>
              <w:t>other</w:t>
            </w:r>
            <w:proofErr w:type="spellEnd"/>
            <w:r w:rsidR="7867A357" w:rsidRPr="00781F53">
              <w:rPr>
                <w:rFonts w:ascii="Arial" w:eastAsia="Times New Roman" w:hAnsi="Arial" w:cs="Arial"/>
                <w:color w:val="404040" w:themeColor="text1" w:themeTint="BF"/>
                <w:sz w:val="16"/>
                <w:szCs w:val="16"/>
                <w:lang w:val="pt-PT" w:eastAsia="pl-PL"/>
              </w:rPr>
              <w:t xml:space="preserve"> </w:t>
            </w:r>
            <w:proofErr w:type="spellStart"/>
            <w:r w:rsidR="7867A357" w:rsidRPr="00781F53">
              <w:rPr>
                <w:rFonts w:ascii="Arial" w:eastAsia="Times New Roman" w:hAnsi="Arial" w:cs="Arial"/>
                <w:color w:val="404040" w:themeColor="text1" w:themeTint="BF"/>
                <w:sz w:val="16"/>
                <w:szCs w:val="16"/>
                <w:lang w:val="pt-PT" w:eastAsia="pl-PL"/>
              </w:rPr>
              <w:t>receivables</w:t>
            </w:r>
            <w:proofErr w:type="spellEnd"/>
          </w:p>
        </w:tc>
        <w:tc>
          <w:tcPr>
            <w:tcW w:w="1740" w:type="dxa"/>
            <w:tcBorders>
              <w:top w:val="nil"/>
              <w:left w:val="nil"/>
              <w:bottom w:val="nil"/>
              <w:right w:val="nil"/>
            </w:tcBorders>
            <w:shd w:val="clear" w:color="auto" w:fill="FFFFFF" w:themeFill="background1"/>
            <w:vAlign w:val="center"/>
          </w:tcPr>
          <w:p w14:paraId="08883C5B" w14:textId="668A3A99"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6.4</w:t>
            </w:r>
          </w:p>
        </w:tc>
        <w:tc>
          <w:tcPr>
            <w:tcW w:w="1680" w:type="dxa"/>
            <w:tcBorders>
              <w:top w:val="nil"/>
              <w:left w:val="nil"/>
              <w:bottom w:val="nil"/>
              <w:right w:val="nil"/>
            </w:tcBorders>
            <w:shd w:val="clear" w:color="auto" w:fill="FFFFFF" w:themeFill="background1"/>
            <w:vAlign w:val="center"/>
          </w:tcPr>
          <w:p w14:paraId="40E06F2A" w14:textId="55A7C312" w:rsidR="7CD69C3A" w:rsidRPr="00781F53" w:rsidRDefault="43B0E146"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(3.9)</w:t>
            </w:r>
          </w:p>
        </w:tc>
      </w:tr>
      <w:tr w:rsidR="7CD69C3A" w:rsidRPr="00781F53" w14:paraId="0F9060E9" w14:textId="77777777" w:rsidTr="4A94AE94">
        <w:trPr>
          <w:trHeight w:val="178"/>
        </w:trPr>
        <w:tc>
          <w:tcPr>
            <w:tcW w:w="5080" w:type="dxa"/>
            <w:tcBorders>
              <w:top w:val="nil"/>
              <w:left w:val="nil"/>
              <w:bottom w:val="nil"/>
              <w:right w:val="nil"/>
            </w:tcBorders>
            <w:shd w:val="clear" w:color="auto" w:fill="D9D9D9" w:themeFill="background1" w:themeFillShade="D9"/>
            <w:vAlign w:val="center"/>
          </w:tcPr>
          <w:p w14:paraId="7C8327EF" w14:textId="4EC89324" w:rsidR="000530F5" w:rsidRPr="00781F53" w:rsidRDefault="43B0E146" w:rsidP="00781F53">
            <w:pPr>
              <w:spacing w:line="276" w:lineRule="auto"/>
              <w:rPr>
                <w:rFonts w:ascii="Arial" w:hAnsi="Arial" w:cs="Arial"/>
                <w:b/>
                <w:color w:val="404040" w:themeColor="text1" w:themeTint="BF"/>
                <w:sz w:val="16"/>
                <w:szCs w:val="16"/>
                <w:lang w:val="pt-PT" w:eastAsia="pl-PL"/>
              </w:rPr>
            </w:pPr>
            <w:r w:rsidRPr="00781F53">
              <w:rPr>
                <w:rFonts w:ascii="Arial" w:eastAsia="Times New Roman" w:hAnsi="Arial" w:cs="Arial"/>
                <w:b/>
                <w:color w:val="404040" w:themeColor="text1" w:themeTint="BF"/>
                <w:sz w:val="16"/>
                <w:szCs w:val="16"/>
                <w:lang w:val="pt-PT" w:eastAsia="pl-PL"/>
              </w:rPr>
              <w:t xml:space="preserve">Total </w:t>
            </w:r>
            <w:proofErr w:type="spellStart"/>
            <w:r w:rsidRPr="00781F53">
              <w:rPr>
                <w:rFonts w:ascii="Arial" w:eastAsia="Times New Roman" w:hAnsi="Arial" w:cs="Arial"/>
                <w:b/>
                <w:color w:val="404040" w:themeColor="text1" w:themeTint="BF"/>
                <w:sz w:val="16"/>
                <w:szCs w:val="16"/>
                <w:lang w:val="pt-PT" w:eastAsia="pl-PL"/>
              </w:rPr>
              <w:t>operating</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expenses</w:t>
            </w:r>
            <w:proofErr w:type="spellEnd"/>
          </w:p>
        </w:tc>
        <w:tc>
          <w:tcPr>
            <w:tcW w:w="1740" w:type="dxa"/>
            <w:tcBorders>
              <w:top w:val="nil"/>
              <w:left w:val="nil"/>
              <w:bottom w:val="nil"/>
              <w:right w:val="nil"/>
            </w:tcBorders>
            <w:shd w:val="clear" w:color="auto" w:fill="D9D9D9" w:themeFill="background1" w:themeFillShade="D9"/>
          </w:tcPr>
          <w:p w14:paraId="15AA17FF" w14:textId="7E5C5945" w:rsidR="000530F5" w:rsidRPr="00781F53" w:rsidRDefault="004E6F4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3,775.8 </w:t>
            </w:r>
          </w:p>
        </w:tc>
        <w:tc>
          <w:tcPr>
            <w:tcW w:w="1680" w:type="dxa"/>
            <w:tcBorders>
              <w:top w:val="nil"/>
              <w:left w:val="nil"/>
              <w:bottom w:val="nil"/>
              <w:right w:val="nil"/>
            </w:tcBorders>
            <w:shd w:val="clear" w:color="auto" w:fill="D9D9D9" w:themeFill="background1" w:themeFillShade="D9"/>
          </w:tcPr>
          <w:p w14:paraId="5C1881A5" w14:textId="37D9AD05" w:rsidR="000530F5" w:rsidRPr="00781F53" w:rsidRDefault="004E6F4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1,900.6 </w:t>
            </w:r>
          </w:p>
        </w:tc>
      </w:tr>
      <w:tr w:rsidR="43B0E146" w:rsidRPr="00781F53" w14:paraId="53A906E7" w14:textId="77777777" w:rsidTr="4A94AE94">
        <w:trPr>
          <w:trHeight w:val="167"/>
        </w:trPr>
        <w:tc>
          <w:tcPr>
            <w:tcW w:w="5080" w:type="dxa"/>
            <w:tcBorders>
              <w:top w:val="nil"/>
              <w:left w:val="nil"/>
              <w:bottom w:val="nil"/>
              <w:right w:val="nil"/>
            </w:tcBorders>
            <w:shd w:val="clear" w:color="auto" w:fill="D9D9D9" w:themeFill="background1" w:themeFillShade="D9"/>
            <w:vAlign w:val="center"/>
          </w:tcPr>
          <w:p w14:paraId="1634C0D7" w14:textId="44E5A0C6" w:rsidR="43B0E146" w:rsidRPr="00781F53" w:rsidRDefault="43B0E146" w:rsidP="00781F53">
            <w:pPr>
              <w:spacing w:line="276" w:lineRule="auto"/>
              <w:rPr>
                <w:rFonts w:ascii="Arial" w:hAnsi="Arial" w:cs="Arial"/>
                <w:b/>
                <w:color w:val="404040" w:themeColor="text1" w:themeTint="BF"/>
                <w:sz w:val="16"/>
                <w:szCs w:val="16"/>
                <w:lang w:val="pt-PT" w:eastAsia="pl-PL"/>
              </w:rPr>
            </w:pPr>
            <w:proofErr w:type="spellStart"/>
            <w:r w:rsidRPr="00781F53">
              <w:rPr>
                <w:rFonts w:ascii="Arial" w:hAnsi="Arial" w:cs="Arial"/>
                <w:b/>
                <w:color w:val="404040" w:themeColor="text1" w:themeTint="BF"/>
                <w:sz w:val="16"/>
                <w:szCs w:val="16"/>
                <w:lang w:val="pt-PT" w:eastAsia="pl-PL"/>
              </w:rPr>
              <w:t>Operating</w:t>
            </w:r>
            <w:proofErr w:type="spellEnd"/>
            <w:r w:rsidRPr="00781F53">
              <w:rPr>
                <w:rFonts w:ascii="Arial" w:hAnsi="Arial" w:cs="Arial"/>
                <w:b/>
                <w:color w:val="404040" w:themeColor="text1" w:themeTint="BF"/>
                <w:sz w:val="16"/>
                <w:szCs w:val="16"/>
                <w:lang w:val="pt-PT" w:eastAsia="pl-PL"/>
              </w:rPr>
              <w:t xml:space="preserve"> </w:t>
            </w:r>
            <w:proofErr w:type="spellStart"/>
            <w:r w:rsidRPr="00781F53">
              <w:rPr>
                <w:rFonts w:ascii="Arial" w:hAnsi="Arial" w:cs="Arial"/>
                <w:b/>
                <w:color w:val="404040" w:themeColor="text1" w:themeTint="BF"/>
                <w:sz w:val="16"/>
                <w:szCs w:val="16"/>
                <w:lang w:val="pt-PT" w:eastAsia="pl-PL"/>
              </w:rPr>
              <w:t>profit</w:t>
            </w:r>
            <w:proofErr w:type="spellEnd"/>
          </w:p>
        </w:tc>
        <w:tc>
          <w:tcPr>
            <w:tcW w:w="1740" w:type="dxa"/>
            <w:tcBorders>
              <w:top w:val="nil"/>
              <w:left w:val="nil"/>
              <w:bottom w:val="nil"/>
              <w:right w:val="nil"/>
            </w:tcBorders>
            <w:shd w:val="clear" w:color="auto" w:fill="D9D9D9" w:themeFill="background1" w:themeFillShade="D9"/>
          </w:tcPr>
          <w:p w14:paraId="6BF7A9C1" w14:textId="34CF7A73" w:rsidR="43B0E146" w:rsidRPr="00781F53" w:rsidRDefault="004E6F4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826.4 </w:t>
            </w:r>
          </w:p>
        </w:tc>
        <w:tc>
          <w:tcPr>
            <w:tcW w:w="1680" w:type="dxa"/>
            <w:tcBorders>
              <w:top w:val="nil"/>
              <w:left w:val="nil"/>
              <w:bottom w:val="nil"/>
              <w:right w:val="nil"/>
            </w:tcBorders>
            <w:shd w:val="clear" w:color="auto" w:fill="D9D9D9" w:themeFill="background1" w:themeFillShade="D9"/>
          </w:tcPr>
          <w:p w14:paraId="62C4DAE1" w14:textId="16995B42" w:rsidR="43B0E146" w:rsidRPr="00781F53" w:rsidRDefault="004E6F4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627.5 </w:t>
            </w:r>
          </w:p>
        </w:tc>
      </w:tr>
      <w:tr w:rsidR="7CD69C3A" w:rsidRPr="00781F53" w14:paraId="438121CB" w14:textId="77777777" w:rsidTr="4A94AE94">
        <w:trPr>
          <w:trHeight w:val="127"/>
        </w:trPr>
        <w:tc>
          <w:tcPr>
            <w:tcW w:w="5080" w:type="dxa"/>
            <w:tcBorders>
              <w:top w:val="nil"/>
              <w:left w:val="nil"/>
              <w:bottom w:val="nil"/>
              <w:right w:val="nil"/>
            </w:tcBorders>
            <w:shd w:val="clear" w:color="auto" w:fill="FFFFFF" w:themeFill="background1"/>
            <w:vAlign w:val="center"/>
          </w:tcPr>
          <w:p w14:paraId="570E22F1" w14:textId="4B30B73C" w:rsidR="000530F5" w:rsidRPr="00781F53" w:rsidRDefault="21032924"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Finance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income</w:t>
            </w:r>
            <w:proofErr w:type="spellEnd"/>
          </w:p>
        </w:tc>
        <w:tc>
          <w:tcPr>
            <w:tcW w:w="1740" w:type="dxa"/>
            <w:tcBorders>
              <w:top w:val="nil"/>
              <w:left w:val="nil"/>
              <w:bottom w:val="nil"/>
              <w:right w:val="nil"/>
            </w:tcBorders>
            <w:shd w:val="clear" w:color="auto" w:fill="FFFFFF" w:themeFill="background1"/>
          </w:tcPr>
          <w:p w14:paraId="221F3D7B" w14:textId="144E9F69" w:rsidR="000530F5" w:rsidRPr="00781F53" w:rsidRDefault="004E6F4D"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hAnsi="Arial" w:cs="Arial"/>
                <w:sz w:val="16"/>
                <w:szCs w:val="16"/>
                <w:lang w:val="pt-PT"/>
              </w:rPr>
              <w:t xml:space="preserve">16.1 </w:t>
            </w:r>
          </w:p>
        </w:tc>
        <w:tc>
          <w:tcPr>
            <w:tcW w:w="1680" w:type="dxa"/>
            <w:tcBorders>
              <w:top w:val="nil"/>
              <w:left w:val="nil"/>
              <w:bottom w:val="nil"/>
              <w:right w:val="nil"/>
            </w:tcBorders>
            <w:shd w:val="clear" w:color="auto" w:fill="FFFFFF" w:themeFill="background1"/>
          </w:tcPr>
          <w:p w14:paraId="34912043" w14:textId="27464DF9" w:rsidR="000530F5" w:rsidRPr="00781F53" w:rsidRDefault="004E6F4D"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hAnsi="Arial" w:cs="Arial"/>
                <w:sz w:val="16"/>
                <w:szCs w:val="16"/>
                <w:lang w:val="pt-PT"/>
              </w:rPr>
              <w:t xml:space="preserve">0.1 </w:t>
            </w:r>
          </w:p>
        </w:tc>
      </w:tr>
      <w:tr w:rsidR="004E04ED" w:rsidRPr="00781F53" w14:paraId="0AB3605E" w14:textId="77777777" w:rsidTr="4A94AE94">
        <w:trPr>
          <w:trHeight w:val="86"/>
        </w:trPr>
        <w:tc>
          <w:tcPr>
            <w:tcW w:w="5080" w:type="dxa"/>
            <w:tcBorders>
              <w:top w:val="nil"/>
              <w:left w:val="nil"/>
              <w:bottom w:val="nil"/>
              <w:right w:val="nil"/>
            </w:tcBorders>
            <w:shd w:val="clear" w:color="auto" w:fill="FFFFFF" w:themeFill="background1"/>
            <w:vAlign w:val="center"/>
          </w:tcPr>
          <w:p w14:paraId="2ED1921A" w14:textId="0D3CBA67" w:rsidR="004E04ED" w:rsidRPr="00781F53" w:rsidRDefault="38F4066E"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Finance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costs</w:t>
            </w:r>
            <w:proofErr w:type="spellEnd"/>
          </w:p>
        </w:tc>
        <w:tc>
          <w:tcPr>
            <w:tcW w:w="1740" w:type="dxa"/>
            <w:tcBorders>
              <w:top w:val="nil"/>
              <w:left w:val="nil"/>
              <w:bottom w:val="nil"/>
              <w:right w:val="nil"/>
            </w:tcBorders>
            <w:shd w:val="clear" w:color="auto" w:fill="FFFFFF" w:themeFill="background1"/>
          </w:tcPr>
          <w:p w14:paraId="38DEAB04" w14:textId="72201F9C" w:rsidR="004E04ED" w:rsidRPr="00781F53" w:rsidRDefault="004E04ED" w:rsidP="00781F53">
            <w:pPr>
              <w:widowControl/>
              <w:spacing w:line="276" w:lineRule="auto"/>
              <w:jc w:val="center"/>
              <w:rPr>
                <w:rFonts w:ascii="Arial" w:hAnsi="Arial" w:cs="Arial"/>
                <w:sz w:val="16"/>
                <w:szCs w:val="16"/>
                <w:lang w:val="pt-PT"/>
              </w:rPr>
            </w:pPr>
            <w:r w:rsidRPr="00781F53">
              <w:rPr>
                <w:rFonts w:ascii="Arial" w:hAnsi="Arial" w:cs="Arial"/>
                <w:sz w:val="16"/>
                <w:szCs w:val="16"/>
                <w:lang w:val="pt-PT"/>
              </w:rPr>
              <w:t xml:space="preserve">129.7 </w:t>
            </w:r>
          </w:p>
        </w:tc>
        <w:tc>
          <w:tcPr>
            <w:tcW w:w="1680" w:type="dxa"/>
            <w:tcBorders>
              <w:top w:val="nil"/>
              <w:left w:val="nil"/>
              <w:bottom w:val="nil"/>
              <w:right w:val="nil"/>
            </w:tcBorders>
            <w:shd w:val="clear" w:color="auto" w:fill="FFFFFF" w:themeFill="background1"/>
          </w:tcPr>
          <w:p w14:paraId="51537B70" w14:textId="5569A825" w:rsidR="004E04ED" w:rsidRPr="00781F53" w:rsidRDefault="004E04ED" w:rsidP="00781F53">
            <w:pPr>
              <w:widowControl/>
              <w:spacing w:line="276" w:lineRule="auto"/>
              <w:jc w:val="center"/>
              <w:rPr>
                <w:rFonts w:ascii="Arial" w:hAnsi="Arial" w:cs="Arial"/>
                <w:sz w:val="16"/>
                <w:szCs w:val="16"/>
                <w:lang w:val="pt-PT"/>
              </w:rPr>
            </w:pPr>
            <w:r w:rsidRPr="00781F53">
              <w:rPr>
                <w:rFonts w:ascii="Arial" w:hAnsi="Arial" w:cs="Arial"/>
                <w:sz w:val="16"/>
                <w:szCs w:val="16"/>
                <w:lang w:val="pt-PT"/>
              </w:rPr>
              <w:t xml:space="preserve">164.5 </w:t>
            </w:r>
          </w:p>
        </w:tc>
      </w:tr>
      <w:tr w:rsidR="7CD69C3A" w:rsidRPr="00781F53" w14:paraId="79436482" w14:textId="77777777" w:rsidTr="4A94AE94">
        <w:trPr>
          <w:trHeight w:val="175"/>
        </w:trPr>
        <w:tc>
          <w:tcPr>
            <w:tcW w:w="5080" w:type="dxa"/>
            <w:tcBorders>
              <w:top w:val="nil"/>
              <w:left w:val="nil"/>
              <w:bottom w:val="nil"/>
              <w:right w:val="nil"/>
            </w:tcBorders>
            <w:shd w:val="clear" w:color="auto" w:fill="D9D9D9" w:themeFill="background1" w:themeFillShade="D9"/>
            <w:vAlign w:val="center"/>
          </w:tcPr>
          <w:p w14:paraId="1DD0A7F0" w14:textId="31F84AD1" w:rsidR="000530F5" w:rsidRPr="00781F53" w:rsidRDefault="43B0E146" w:rsidP="00781F53">
            <w:pPr>
              <w:spacing w:line="276" w:lineRule="auto"/>
              <w:rPr>
                <w:rFonts w:ascii="Arial" w:hAnsi="Arial" w:cs="Arial"/>
                <w:b/>
                <w:color w:val="404040" w:themeColor="text1" w:themeTint="BF"/>
                <w:sz w:val="16"/>
                <w:szCs w:val="16"/>
                <w:lang w:val="pt-PT" w:eastAsia="pl-PL"/>
              </w:rPr>
            </w:pPr>
            <w:proofErr w:type="spellStart"/>
            <w:r w:rsidRPr="00781F53">
              <w:rPr>
                <w:rFonts w:ascii="Arial" w:eastAsia="Times New Roman" w:hAnsi="Arial" w:cs="Arial"/>
                <w:b/>
                <w:color w:val="404040" w:themeColor="text1" w:themeTint="BF"/>
                <w:sz w:val="16"/>
                <w:szCs w:val="16"/>
                <w:lang w:val="pt-PT" w:eastAsia="pl-PL"/>
              </w:rPr>
              <w:t>Profit</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before</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tax</w:t>
            </w:r>
            <w:proofErr w:type="spellEnd"/>
          </w:p>
        </w:tc>
        <w:tc>
          <w:tcPr>
            <w:tcW w:w="1740" w:type="dxa"/>
            <w:tcBorders>
              <w:top w:val="nil"/>
              <w:left w:val="nil"/>
              <w:bottom w:val="nil"/>
              <w:right w:val="nil"/>
            </w:tcBorders>
            <w:shd w:val="clear" w:color="auto" w:fill="D9D9D9" w:themeFill="background1" w:themeFillShade="D9"/>
          </w:tcPr>
          <w:p w14:paraId="661382DC" w14:textId="15902B85" w:rsidR="000530F5"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712.8 </w:t>
            </w:r>
          </w:p>
        </w:tc>
        <w:tc>
          <w:tcPr>
            <w:tcW w:w="1680" w:type="dxa"/>
            <w:tcBorders>
              <w:top w:val="nil"/>
              <w:left w:val="nil"/>
              <w:bottom w:val="nil"/>
              <w:right w:val="nil"/>
            </w:tcBorders>
            <w:shd w:val="clear" w:color="auto" w:fill="D9D9D9" w:themeFill="background1" w:themeFillShade="D9"/>
          </w:tcPr>
          <w:p w14:paraId="5F09731E" w14:textId="42522C9B" w:rsidR="000530F5"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463.1 </w:t>
            </w:r>
          </w:p>
        </w:tc>
      </w:tr>
      <w:tr w:rsidR="7CD69C3A" w:rsidRPr="00781F53" w14:paraId="7B9E684A" w14:textId="77777777" w:rsidTr="4A94AE94">
        <w:trPr>
          <w:trHeight w:val="121"/>
        </w:trPr>
        <w:tc>
          <w:tcPr>
            <w:tcW w:w="5080" w:type="dxa"/>
            <w:tcBorders>
              <w:top w:val="nil"/>
              <w:left w:val="nil"/>
              <w:bottom w:val="nil"/>
              <w:right w:val="nil"/>
            </w:tcBorders>
            <w:shd w:val="clear" w:color="auto" w:fill="FFFFFF" w:themeFill="background1"/>
            <w:vAlign w:val="center"/>
          </w:tcPr>
          <w:p w14:paraId="627EB304" w14:textId="721D849C" w:rsidR="000530F5" w:rsidRPr="00781F53" w:rsidRDefault="43B0E146" w:rsidP="00781F53">
            <w:pPr>
              <w:spacing w:line="276" w:lineRule="auto"/>
              <w:ind w:left="314"/>
              <w:rPr>
                <w:rFonts w:ascii="Arial"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Income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expenses</w:t>
            </w:r>
            <w:proofErr w:type="spellEnd"/>
          </w:p>
        </w:tc>
        <w:tc>
          <w:tcPr>
            <w:tcW w:w="1740" w:type="dxa"/>
            <w:tcBorders>
              <w:top w:val="nil"/>
              <w:left w:val="nil"/>
              <w:bottom w:val="nil"/>
              <w:right w:val="nil"/>
            </w:tcBorders>
            <w:shd w:val="clear" w:color="auto" w:fill="FFFFFF" w:themeFill="background1"/>
          </w:tcPr>
          <w:p w14:paraId="02DE5E2B" w14:textId="6348D1EC" w:rsidR="000530F5" w:rsidRPr="00781F53" w:rsidRDefault="004E04ED"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hAnsi="Arial" w:cs="Arial"/>
                <w:sz w:val="16"/>
                <w:szCs w:val="16"/>
                <w:lang w:val="pt-PT"/>
              </w:rPr>
              <w:t xml:space="preserve">221.5 </w:t>
            </w:r>
          </w:p>
        </w:tc>
        <w:tc>
          <w:tcPr>
            <w:tcW w:w="1680" w:type="dxa"/>
            <w:tcBorders>
              <w:top w:val="nil"/>
              <w:left w:val="nil"/>
              <w:bottom w:val="nil"/>
              <w:right w:val="nil"/>
            </w:tcBorders>
            <w:shd w:val="clear" w:color="auto" w:fill="FFFFFF" w:themeFill="background1"/>
          </w:tcPr>
          <w:p w14:paraId="1AD9B41D" w14:textId="4D4EFEC6" w:rsidR="000530F5" w:rsidRPr="00781F53" w:rsidRDefault="004E04ED" w:rsidP="00781F53">
            <w:pPr>
              <w:widowControl/>
              <w:spacing w:line="276" w:lineRule="auto"/>
              <w:jc w:val="center"/>
              <w:rPr>
                <w:rFonts w:ascii="Arial" w:eastAsia="Times New Roman" w:hAnsi="Arial" w:cs="Arial"/>
                <w:color w:val="404040" w:themeColor="text1" w:themeTint="BF"/>
                <w:sz w:val="16"/>
                <w:szCs w:val="16"/>
                <w:lang w:val="pt-PT" w:eastAsia="pl-PL"/>
              </w:rPr>
            </w:pPr>
            <w:r w:rsidRPr="00781F53">
              <w:rPr>
                <w:rFonts w:ascii="Arial" w:hAnsi="Arial" w:cs="Arial"/>
                <w:sz w:val="16"/>
                <w:szCs w:val="16"/>
                <w:lang w:val="pt-PT"/>
              </w:rPr>
              <w:t xml:space="preserve">111.6 </w:t>
            </w:r>
          </w:p>
        </w:tc>
      </w:tr>
      <w:tr w:rsidR="7CD69C3A" w:rsidRPr="00781F53" w14:paraId="4494B68E" w14:textId="77777777" w:rsidTr="4A94AE94">
        <w:trPr>
          <w:trHeight w:val="208"/>
        </w:trPr>
        <w:tc>
          <w:tcPr>
            <w:tcW w:w="5080" w:type="dxa"/>
            <w:tcBorders>
              <w:top w:val="nil"/>
              <w:left w:val="nil"/>
              <w:bottom w:val="nil"/>
              <w:right w:val="nil"/>
            </w:tcBorders>
            <w:shd w:val="clear" w:color="auto" w:fill="D9D9D9" w:themeFill="background1" w:themeFillShade="D9"/>
            <w:vAlign w:val="center"/>
          </w:tcPr>
          <w:p w14:paraId="078C1D38" w14:textId="568F0C2A" w:rsidR="000530F5" w:rsidRPr="00781F53" w:rsidRDefault="43B0E146" w:rsidP="00781F53">
            <w:pPr>
              <w:widowControl/>
              <w:spacing w:line="276" w:lineRule="auto"/>
              <w:rPr>
                <w:rFonts w:ascii="Arial" w:eastAsia="Times New Roman" w:hAnsi="Arial" w:cs="Arial"/>
                <w:b/>
                <w:color w:val="404040" w:themeColor="text1" w:themeTint="BF"/>
                <w:sz w:val="16"/>
                <w:szCs w:val="16"/>
                <w:lang w:val="pt-PT" w:eastAsia="pl-PL"/>
              </w:rPr>
            </w:pPr>
            <w:proofErr w:type="spellStart"/>
            <w:r w:rsidRPr="00781F53">
              <w:rPr>
                <w:rFonts w:ascii="Arial" w:eastAsia="Times New Roman" w:hAnsi="Arial" w:cs="Arial"/>
                <w:b/>
                <w:color w:val="404040" w:themeColor="text1" w:themeTint="BF"/>
                <w:sz w:val="16"/>
                <w:szCs w:val="16"/>
                <w:lang w:val="pt-PT" w:eastAsia="pl-PL"/>
              </w:rPr>
              <w:t>Profit</w:t>
            </w:r>
            <w:proofErr w:type="spellEnd"/>
            <w:r w:rsidRPr="00781F53">
              <w:rPr>
                <w:rFonts w:ascii="Arial" w:eastAsia="Times New Roman" w:hAnsi="Arial" w:cs="Arial"/>
                <w:b/>
                <w:color w:val="404040" w:themeColor="text1" w:themeTint="BF"/>
                <w:sz w:val="16"/>
                <w:szCs w:val="16"/>
                <w:lang w:val="pt-PT" w:eastAsia="pl-PL"/>
              </w:rPr>
              <w:t xml:space="preserve"> from </w:t>
            </w:r>
            <w:proofErr w:type="spellStart"/>
            <w:r w:rsidR="004E04ED" w:rsidRPr="00781F53">
              <w:rPr>
                <w:rFonts w:ascii="Arial" w:eastAsia="Times New Roman" w:hAnsi="Arial" w:cs="Arial"/>
                <w:b/>
                <w:bCs/>
                <w:color w:val="404040" w:themeColor="text1" w:themeTint="BF"/>
                <w:sz w:val="16"/>
                <w:szCs w:val="16"/>
                <w:lang w:val="pt-PT" w:eastAsia="pl-PL"/>
              </w:rPr>
              <w:t>continued</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operations</w:t>
            </w:r>
            <w:proofErr w:type="spellEnd"/>
          </w:p>
        </w:tc>
        <w:tc>
          <w:tcPr>
            <w:tcW w:w="1740" w:type="dxa"/>
            <w:tcBorders>
              <w:top w:val="nil"/>
              <w:left w:val="nil"/>
              <w:bottom w:val="nil"/>
              <w:right w:val="nil"/>
            </w:tcBorders>
            <w:shd w:val="clear" w:color="auto" w:fill="D9D9D9" w:themeFill="background1" w:themeFillShade="D9"/>
          </w:tcPr>
          <w:p w14:paraId="7D5F6FE2" w14:textId="52F3F310" w:rsidR="000530F5"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491.3 </w:t>
            </w:r>
          </w:p>
        </w:tc>
        <w:tc>
          <w:tcPr>
            <w:tcW w:w="1680" w:type="dxa"/>
            <w:tcBorders>
              <w:top w:val="nil"/>
              <w:left w:val="nil"/>
              <w:bottom w:val="nil"/>
              <w:right w:val="nil"/>
            </w:tcBorders>
            <w:shd w:val="clear" w:color="auto" w:fill="D9D9D9" w:themeFill="background1" w:themeFillShade="D9"/>
          </w:tcPr>
          <w:p w14:paraId="22A19423" w14:textId="3AA7559A" w:rsidR="000530F5"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351.5 </w:t>
            </w:r>
          </w:p>
        </w:tc>
      </w:tr>
      <w:tr w:rsidR="43B0E146" w:rsidRPr="00781F53" w14:paraId="3F51DB2A" w14:textId="77777777" w:rsidTr="4A94AE94">
        <w:trPr>
          <w:trHeight w:val="141"/>
        </w:trPr>
        <w:tc>
          <w:tcPr>
            <w:tcW w:w="5080" w:type="dxa"/>
            <w:tcBorders>
              <w:top w:val="nil"/>
              <w:left w:val="nil"/>
              <w:bottom w:val="nil"/>
              <w:right w:val="nil"/>
            </w:tcBorders>
            <w:shd w:val="clear" w:color="auto" w:fill="D9D9D9" w:themeFill="background1" w:themeFillShade="D9"/>
            <w:vAlign w:val="center"/>
          </w:tcPr>
          <w:p w14:paraId="423FF6B3" w14:textId="0BE28E53" w:rsidR="43B0E146" w:rsidRPr="00781F53" w:rsidRDefault="43B0E146" w:rsidP="00781F53">
            <w:pPr>
              <w:widowControl/>
              <w:spacing w:line="276" w:lineRule="auto"/>
              <w:rPr>
                <w:rFonts w:ascii="Arial" w:eastAsia="Times New Roman" w:hAnsi="Arial" w:cs="Arial"/>
                <w:b/>
                <w:color w:val="404040" w:themeColor="text1" w:themeTint="BF"/>
                <w:sz w:val="16"/>
                <w:szCs w:val="16"/>
                <w:lang w:val="pt-PT" w:eastAsia="pl-PL"/>
              </w:rPr>
            </w:pPr>
            <w:proofErr w:type="spellStart"/>
            <w:r w:rsidRPr="00781F53">
              <w:rPr>
                <w:rFonts w:ascii="Arial" w:eastAsia="Times New Roman" w:hAnsi="Arial" w:cs="Arial"/>
                <w:b/>
                <w:color w:val="404040" w:themeColor="text1" w:themeTint="BF"/>
                <w:sz w:val="16"/>
                <w:szCs w:val="16"/>
                <w:lang w:val="pt-PT" w:eastAsia="pl-PL"/>
              </w:rPr>
              <w:t>Profit</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loss</w:t>
            </w:r>
            <w:proofErr w:type="spellEnd"/>
            <w:r w:rsidRPr="00781F53">
              <w:rPr>
                <w:rFonts w:ascii="Arial" w:eastAsia="Times New Roman" w:hAnsi="Arial" w:cs="Arial"/>
                <w:b/>
                <w:color w:val="404040" w:themeColor="text1" w:themeTint="BF"/>
                <w:sz w:val="16"/>
                <w:szCs w:val="16"/>
                <w:lang w:val="pt-PT" w:eastAsia="pl-PL"/>
              </w:rPr>
              <w:t xml:space="preserve">) from </w:t>
            </w:r>
            <w:proofErr w:type="spellStart"/>
            <w:r w:rsidR="004E04ED" w:rsidRPr="00781F53">
              <w:rPr>
                <w:rFonts w:ascii="Arial" w:eastAsia="Times New Roman" w:hAnsi="Arial" w:cs="Arial"/>
                <w:b/>
                <w:bCs/>
                <w:color w:val="404040" w:themeColor="text1" w:themeTint="BF"/>
                <w:sz w:val="16"/>
                <w:szCs w:val="16"/>
                <w:lang w:val="pt-PT" w:eastAsia="pl-PL"/>
              </w:rPr>
              <w:t>discontinued</w:t>
            </w:r>
            <w:proofErr w:type="spellEnd"/>
            <w:r w:rsidRPr="00781F53">
              <w:rPr>
                <w:rFonts w:ascii="Arial" w:eastAsia="Times New Roman" w:hAnsi="Arial" w:cs="Arial"/>
                <w:b/>
                <w:color w:val="404040" w:themeColor="text1" w:themeTint="BF"/>
                <w:sz w:val="16"/>
                <w:szCs w:val="16"/>
                <w:lang w:val="pt-PT" w:eastAsia="pl-PL"/>
              </w:rPr>
              <w:t xml:space="preserve"> </w:t>
            </w:r>
            <w:proofErr w:type="spellStart"/>
            <w:r w:rsidRPr="00781F53">
              <w:rPr>
                <w:rFonts w:ascii="Arial" w:eastAsia="Times New Roman" w:hAnsi="Arial" w:cs="Arial"/>
                <w:b/>
                <w:color w:val="404040" w:themeColor="text1" w:themeTint="BF"/>
                <w:sz w:val="16"/>
                <w:szCs w:val="16"/>
                <w:lang w:val="pt-PT" w:eastAsia="pl-PL"/>
              </w:rPr>
              <w:t>operations</w:t>
            </w:r>
            <w:proofErr w:type="spellEnd"/>
          </w:p>
        </w:tc>
        <w:tc>
          <w:tcPr>
            <w:tcW w:w="1740" w:type="dxa"/>
            <w:tcBorders>
              <w:top w:val="nil"/>
              <w:left w:val="nil"/>
              <w:bottom w:val="nil"/>
              <w:right w:val="nil"/>
            </w:tcBorders>
            <w:shd w:val="clear" w:color="auto" w:fill="D9D9D9" w:themeFill="background1" w:themeFillShade="D9"/>
          </w:tcPr>
          <w:p w14:paraId="6240A7C8" w14:textId="4C9A5CEF" w:rsidR="43B0E146"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0.3 </w:t>
            </w:r>
          </w:p>
        </w:tc>
        <w:tc>
          <w:tcPr>
            <w:tcW w:w="1680" w:type="dxa"/>
            <w:tcBorders>
              <w:top w:val="nil"/>
              <w:left w:val="nil"/>
              <w:bottom w:val="nil"/>
              <w:right w:val="nil"/>
            </w:tcBorders>
            <w:shd w:val="clear" w:color="auto" w:fill="D9D9D9" w:themeFill="background1" w:themeFillShade="D9"/>
          </w:tcPr>
          <w:p w14:paraId="41333E63" w14:textId="76DA6AA6" w:rsidR="43B0E146"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(1.3)</w:t>
            </w:r>
          </w:p>
        </w:tc>
      </w:tr>
      <w:tr w:rsidR="43B0E146" w:rsidRPr="00781F53" w14:paraId="5602D87D" w14:textId="77777777" w:rsidTr="4A94AE94">
        <w:trPr>
          <w:trHeight w:val="229"/>
        </w:trPr>
        <w:tc>
          <w:tcPr>
            <w:tcW w:w="5080" w:type="dxa"/>
            <w:tcBorders>
              <w:top w:val="nil"/>
              <w:left w:val="nil"/>
              <w:bottom w:val="nil"/>
              <w:right w:val="nil"/>
            </w:tcBorders>
            <w:shd w:val="clear" w:color="auto" w:fill="FFC000" w:themeFill="accent4"/>
            <w:vAlign w:val="center"/>
          </w:tcPr>
          <w:p w14:paraId="01AF0AB5" w14:textId="495000AB" w:rsidR="43B0E146" w:rsidRPr="00781F53" w:rsidRDefault="43B0E146" w:rsidP="00781F53">
            <w:pPr>
              <w:spacing w:line="276" w:lineRule="auto"/>
              <w:rPr>
                <w:rFonts w:ascii="Arial" w:hAnsi="Arial" w:cs="Arial"/>
                <w:b/>
                <w:color w:val="404040" w:themeColor="text1" w:themeTint="BF"/>
                <w:sz w:val="16"/>
                <w:szCs w:val="16"/>
                <w:lang w:val="pt-PT" w:eastAsia="pl-PL"/>
              </w:rPr>
            </w:pPr>
            <w:r w:rsidRPr="00781F53">
              <w:rPr>
                <w:rFonts w:ascii="Arial" w:hAnsi="Arial" w:cs="Arial"/>
                <w:b/>
                <w:color w:val="404040" w:themeColor="text1" w:themeTint="BF"/>
                <w:sz w:val="16"/>
                <w:szCs w:val="16"/>
                <w:lang w:val="pt-PT" w:eastAsia="pl-PL"/>
              </w:rPr>
              <w:t xml:space="preserve">Net </w:t>
            </w:r>
            <w:proofErr w:type="spellStart"/>
            <w:r w:rsidRPr="00781F53">
              <w:rPr>
                <w:rFonts w:ascii="Arial" w:hAnsi="Arial" w:cs="Arial"/>
                <w:b/>
                <w:color w:val="404040" w:themeColor="text1" w:themeTint="BF"/>
                <w:sz w:val="16"/>
                <w:szCs w:val="16"/>
                <w:lang w:val="pt-PT" w:eastAsia="pl-PL"/>
              </w:rPr>
              <w:t>profit</w:t>
            </w:r>
            <w:proofErr w:type="spellEnd"/>
          </w:p>
        </w:tc>
        <w:tc>
          <w:tcPr>
            <w:tcW w:w="1740" w:type="dxa"/>
            <w:tcBorders>
              <w:top w:val="nil"/>
              <w:left w:val="nil"/>
              <w:bottom w:val="nil"/>
              <w:right w:val="nil"/>
            </w:tcBorders>
            <w:shd w:val="clear" w:color="auto" w:fill="FFC000" w:themeFill="accent4"/>
          </w:tcPr>
          <w:p w14:paraId="4D3D9770" w14:textId="3B8F0D41" w:rsidR="43B0E146"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491.6 </w:t>
            </w:r>
          </w:p>
        </w:tc>
        <w:tc>
          <w:tcPr>
            <w:tcW w:w="1680" w:type="dxa"/>
            <w:tcBorders>
              <w:top w:val="nil"/>
              <w:left w:val="nil"/>
              <w:bottom w:val="nil"/>
              <w:right w:val="nil"/>
            </w:tcBorders>
            <w:shd w:val="clear" w:color="auto" w:fill="FFC000" w:themeFill="accent4"/>
          </w:tcPr>
          <w:p w14:paraId="65531EB7" w14:textId="5F766602" w:rsidR="43B0E146" w:rsidRPr="00781F53" w:rsidRDefault="004E04ED" w:rsidP="00781F53">
            <w:pPr>
              <w:spacing w:line="276" w:lineRule="auto"/>
              <w:jc w:val="center"/>
              <w:rPr>
                <w:rFonts w:ascii="Arial" w:eastAsia="Times New Roman" w:hAnsi="Arial" w:cs="Arial"/>
                <w:b/>
                <w:color w:val="404040" w:themeColor="text1" w:themeTint="BF"/>
                <w:sz w:val="16"/>
                <w:szCs w:val="16"/>
                <w:lang w:val="pt-PT" w:eastAsia="pl-PL"/>
              </w:rPr>
            </w:pPr>
            <w:r w:rsidRPr="00781F53">
              <w:rPr>
                <w:rFonts w:ascii="Arial" w:hAnsi="Arial" w:cs="Arial"/>
                <w:b/>
                <w:bCs/>
                <w:sz w:val="16"/>
                <w:szCs w:val="16"/>
                <w:lang w:val="pt-PT"/>
              </w:rPr>
              <w:t xml:space="preserve">350.2 </w:t>
            </w:r>
          </w:p>
        </w:tc>
      </w:tr>
      <w:tr w:rsidR="43B0E146" w:rsidRPr="00781F53" w14:paraId="4BE6DA28" w14:textId="77777777" w:rsidTr="4A94AE94">
        <w:trPr>
          <w:trHeight w:val="146"/>
        </w:trPr>
        <w:tc>
          <w:tcPr>
            <w:tcW w:w="5080" w:type="dxa"/>
            <w:tcBorders>
              <w:top w:val="nil"/>
              <w:left w:val="nil"/>
              <w:bottom w:val="nil"/>
              <w:right w:val="nil"/>
            </w:tcBorders>
            <w:shd w:val="clear" w:color="auto" w:fill="D9D9D9" w:themeFill="background1" w:themeFillShade="D9"/>
            <w:vAlign w:val="center"/>
          </w:tcPr>
          <w:p w14:paraId="22AA85F0" w14:textId="7BAA4F60" w:rsidR="43B0E146" w:rsidRPr="00781F53" w:rsidRDefault="00B27A62" w:rsidP="00781F53">
            <w:pPr>
              <w:spacing w:line="276" w:lineRule="auto"/>
              <w:rPr>
                <w:rFonts w:ascii="Arial" w:hAnsi="Arial" w:cs="Arial"/>
                <w:b/>
                <w:color w:val="404040" w:themeColor="text1" w:themeTint="BF"/>
                <w:sz w:val="16"/>
                <w:szCs w:val="16"/>
                <w:vertAlign w:val="superscript"/>
                <w:lang w:val="pt-PT" w:eastAsia="pl-PL"/>
              </w:rPr>
            </w:pPr>
            <w:proofErr w:type="spellStart"/>
            <w:r w:rsidRPr="00781F53">
              <w:rPr>
                <w:rFonts w:ascii="Arial" w:hAnsi="Arial" w:cs="Arial"/>
                <w:b/>
                <w:bCs/>
                <w:color w:val="404040" w:themeColor="text1" w:themeTint="BF"/>
                <w:sz w:val="16"/>
                <w:szCs w:val="16"/>
                <w:lang w:val="pt-PT" w:eastAsia="pl-PL"/>
              </w:rPr>
              <w:t>Other</w:t>
            </w:r>
            <w:proofErr w:type="spellEnd"/>
            <w:r w:rsidRPr="00781F53">
              <w:rPr>
                <w:rFonts w:ascii="Arial" w:hAnsi="Arial" w:cs="Arial"/>
                <w:b/>
                <w:bCs/>
                <w:color w:val="404040" w:themeColor="text1" w:themeTint="BF"/>
                <w:sz w:val="16"/>
                <w:szCs w:val="16"/>
                <w:lang w:val="pt-PT" w:eastAsia="pl-PL"/>
              </w:rPr>
              <w:t xml:space="preserve"> </w:t>
            </w:r>
            <w:proofErr w:type="spellStart"/>
            <w:r w:rsidRPr="00781F53">
              <w:rPr>
                <w:rFonts w:ascii="Arial" w:hAnsi="Arial" w:cs="Arial"/>
                <w:b/>
                <w:bCs/>
                <w:color w:val="404040" w:themeColor="text1" w:themeTint="BF"/>
                <w:sz w:val="16"/>
                <w:szCs w:val="16"/>
                <w:lang w:val="pt-PT" w:eastAsia="pl-PL"/>
              </w:rPr>
              <w:t>comprehensive</w:t>
            </w:r>
            <w:proofErr w:type="spellEnd"/>
            <w:r w:rsidRPr="00781F53">
              <w:rPr>
                <w:rFonts w:ascii="Arial" w:hAnsi="Arial" w:cs="Arial"/>
                <w:b/>
                <w:bCs/>
                <w:color w:val="404040" w:themeColor="text1" w:themeTint="BF"/>
                <w:sz w:val="16"/>
                <w:szCs w:val="16"/>
                <w:lang w:val="pt-PT" w:eastAsia="pl-PL"/>
              </w:rPr>
              <w:t xml:space="preserve"> </w:t>
            </w:r>
            <w:proofErr w:type="spellStart"/>
            <w:r w:rsidRPr="00781F53">
              <w:rPr>
                <w:rFonts w:ascii="Arial" w:hAnsi="Arial" w:cs="Arial"/>
                <w:b/>
                <w:bCs/>
                <w:color w:val="404040" w:themeColor="text1" w:themeTint="BF"/>
                <w:sz w:val="16"/>
                <w:szCs w:val="16"/>
                <w:lang w:val="pt-PT" w:eastAsia="pl-PL"/>
              </w:rPr>
              <w:t>income</w:t>
            </w:r>
            <w:proofErr w:type="spellEnd"/>
          </w:p>
        </w:tc>
        <w:tc>
          <w:tcPr>
            <w:tcW w:w="1740" w:type="dxa"/>
            <w:tcBorders>
              <w:top w:val="nil"/>
              <w:left w:val="nil"/>
              <w:bottom w:val="nil"/>
              <w:right w:val="nil"/>
            </w:tcBorders>
            <w:shd w:val="clear" w:color="auto" w:fill="D9D9D9" w:themeFill="background1" w:themeFillShade="D9"/>
          </w:tcPr>
          <w:p w14:paraId="49E2467C" w14:textId="5C3453E2" w:rsidR="43B0E146" w:rsidRPr="00781F53" w:rsidRDefault="43B0E146" w:rsidP="00781F53">
            <w:pPr>
              <w:spacing w:line="276" w:lineRule="auto"/>
              <w:jc w:val="center"/>
              <w:rPr>
                <w:rFonts w:ascii="Arial" w:eastAsia="Times New Roman" w:hAnsi="Arial" w:cs="Arial"/>
                <w:b/>
                <w:color w:val="404040" w:themeColor="text1" w:themeTint="BF"/>
                <w:sz w:val="16"/>
                <w:szCs w:val="16"/>
                <w:lang w:val="pt-PT" w:eastAsia="pl-PL"/>
              </w:rPr>
            </w:pPr>
          </w:p>
        </w:tc>
        <w:tc>
          <w:tcPr>
            <w:tcW w:w="1680" w:type="dxa"/>
            <w:tcBorders>
              <w:top w:val="nil"/>
              <w:left w:val="nil"/>
              <w:bottom w:val="nil"/>
              <w:right w:val="nil"/>
            </w:tcBorders>
            <w:shd w:val="clear" w:color="auto" w:fill="D9D9D9" w:themeFill="background1" w:themeFillShade="D9"/>
          </w:tcPr>
          <w:p w14:paraId="343A8A11" w14:textId="5E82FA4A" w:rsidR="43B0E146" w:rsidRPr="00781F53" w:rsidRDefault="43B0E146" w:rsidP="00781F53">
            <w:pPr>
              <w:spacing w:line="276" w:lineRule="auto"/>
              <w:jc w:val="center"/>
              <w:rPr>
                <w:rFonts w:ascii="Arial" w:eastAsia="Times New Roman" w:hAnsi="Arial" w:cs="Arial"/>
                <w:b/>
                <w:color w:val="404040" w:themeColor="text1" w:themeTint="BF"/>
                <w:sz w:val="16"/>
                <w:szCs w:val="16"/>
                <w:lang w:val="pt-PT" w:eastAsia="pl-PL"/>
              </w:rPr>
            </w:pPr>
          </w:p>
        </w:tc>
      </w:tr>
      <w:tr w:rsidR="7CD69C3A" w:rsidRPr="00781F53" w14:paraId="6E2A81EF" w14:textId="77777777" w:rsidTr="4A94AE94">
        <w:trPr>
          <w:trHeight w:val="585"/>
        </w:trPr>
        <w:tc>
          <w:tcPr>
            <w:tcW w:w="5080" w:type="dxa"/>
            <w:tcBorders>
              <w:top w:val="nil"/>
              <w:left w:val="nil"/>
              <w:bottom w:val="nil"/>
              <w:right w:val="nil"/>
            </w:tcBorders>
            <w:shd w:val="clear" w:color="auto" w:fill="FFFFFF" w:themeFill="background1"/>
            <w:vAlign w:val="center"/>
          </w:tcPr>
          <w:p w14:paraId="403D685C" w14:textId="125A644F" w:rsidR="000530F5" w:rsidRPr="00781F53" w:rsidRDefault="00B27A62" w:rsidP="00781F53">
            <w:pPr>
              <w:spacing w:line="276" w:lineRule="auto"/>
              <w:ind w:left="314"/>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Exchange </w:t>
            </w:r>
            <w:proofErr w:type="spellStart"/>
            <w:r w:rsidRPr="00781F53">
              <w:rPr>
                <w:rFonts w:ascii="Arial" w:eastAsia="Times New Roman" w:hAnsi="Arial" w:cs="Arial"/>
                <w:color w:val="404040" w:themeColor="text1" w:themeTint="BF"/>
                <w:sz w:val="16"/>
                <w:szCs w:val="16"/>
                <w:lang w:val="pt-PT" w:eastAsia="pl-PL"/>
              </w:rPr>
              <w:t>differences</w:t>
            </w:r>
            <w:proofErr w:type="spellEnd"/>
            <w:r w:rsidRPr="00781F53">
              <w:rPr>
                <w:rFonts w:ascii="Arial" w:eastAsia="Times New Roman" w:hAnsi="Arial" w:cs="Arial"/>
                <w:color w:val="404040" w:themeColor="text1" w:themeTint="BF"/>
                <w:sz w:val="16"/>
                <w:szCs w:val="16"/>
                <w:lang w:val="pt-PT" w:eastAsia="pl-PL"/>
              </w:rPr>
              <w:t xml:space="preserve"> from the </w:t>
            </w:r>
            <w:proofErr w:type="spellStart"/>
            <w:r w:rsidRPr="00781F53">
              <w:rPr>
                <w:rFonts w:ascii="Arial" w:eastAsia="Times New Roman" w:hAnsi="Arial" w:cs="Arial"/>
                <w:color w:val="404040" w:themeColor="text1" w:themeTint="BF"/>
                <w:sz w:val="16"/>
                <w:szCs w:val="16"/>
                <w:lang w:val="pt-PT" w:eastAsia="pl-PL"/>
              </w:rPr>
              <w:t>translation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foreign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operations</w:t>
            </w:r>
            <w:proofErr w:type="spellEnd"/>
            <w:r w:rsidRPr="00781F53">
              <w:rPr>
                <w:rFonts w:ascii="Arial" w:eastAsia="Times New Roman" w:hAnsi="Arial" w:cs="Arial"/>
                <w:color w:val="404040" w:themeColor="text1" w:themeTint="BF"/>
                <w:sz w:val="16"/>
                <w:szCs w:val="16"/>
                <w:lang w:val="pt-PT" w:eastAsia="pl-PL"/>
              </w:rPr>
              <w:t xml:space="preserve">, net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 Item </w:t>
            </w:r>
            <w:proofErr w:type="spellStart"/>
            <w:r w:rsidRPr="00781F53">
              <w:rPr>
                <w:rFonts w:ascii="Arial" w:eastAsia="Times New Roman" w:hAnsi="Arial" w:cs="Arial"/>
                <w:color w:val="404040" w:themeColor="text1" w:themeTint="BF"/>
                <w:sz w:val="16"/>
                <w:szCs w:val="16"/>
                <w:lang w:val="pt-PT" w:eastAsia="pl-PL"/>
              </w:rPr>
              <w:t>that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may</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reclassified</w:t>
            </w:r>
            <w:proofErr w:type="spellEnd"/>
            <w:r w:rsidRPr="00781F53">
              <w:rPr>
                <w:rFonts w:ascii="Arial" w:eastAsia="Times New Roman" w:hAnsi="Arial" w:cs="Arial"/>
                <w:color w:val="404040" w:themeColor="text1" w:themeTint="BF"/>
                <w:sz w:val="16"/>
                <w:szCs w:val="16"/>
                <w:lang w:val="pt-PT" w:eastAsia="pl-PL"/>
              </w:rPr>
              <w:t xml:space="preserve"> to </w:t>
            </w:r>
            <w:proofErr w:type="spellStart"/>
            <w:r w:rsidRPr="00781F53">
              <w:rPr>
                <w:rFonts w:ascii="Arial" w:eastAsia="Times New Roman" w:hAnsi="Arial" w:cs="Arial"/>
                <w:color w:val="404040" w:themeColor="text1" w:themeTint="BF"/>
                <w:sz w:val="16"/>
                <w:szCs w:val="16"/>
                <w:lang w:val="pt-PT" w:eastAsia="pl-PL"/>
              </w:rPr>
              <w:t>profit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loss</w:t>
            </w:r>
            <w:proofErr w:type="spellEnd"/>
          </w:p>
        </w:tc>
        <w:tc>
          <w:tcPr>
            <w:tcW w:w="1740" w:type="dxa"/>
            <w:tcBorders>
              <w:top w:val="nil"/>
              <w:left w:val="nil"/>
              <w:bottom w:val="nil"/>
              <w:right w:val="nil"/>
            </w:tcBorders>
            <w:shd w:val="clear" w:color="auto" w:fill="FFFFFF" w:themeFill="background1"/>
          </w:tcPr>
          <w:p w14:paraId="78FB6564" w14:textId="008891E9" w:rsidR="000530F5" w:rsidRPr="00781F53" w:rsidRDefault="00B27A62"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(31.0)</w:t>
            </w:r>
          </w:p>
        </w:tc>
        <w:tc>
          <w:tcPr>
            <w:tcW w:w="1680" w:type="dxa"/>
            <w:tcBorders>
              <w:top w:val="nil"/>
              <w:left w:val="nil"/>
              <w:bottom w:val="nil"/>
              <w:right w:val="nil"/>
            </w:tcBorders>
            <w:shd w:val="clear" w:color="auto" w:fill="FFFFFF" w:themeFill="background1"/>
          </w:tcPr>
          <w:p w14:paraId="2CAE1853" w14:textId="772627E1" w:rsidR="000530F5" w:rsidRPr="00781F53" w:rsidRDefault="00B27A62"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(0.4)</w:t>
            </w:r>
          </w:p>
        </w:tc>
      </w:tr>
      <w:tr w:rsidR="00B27A62" w:rsidRPr="00781F53" w14:paraId="73717957" w14:textId="77777777" w:rsidTr="4A94AE94">
        <w:trPr>
          <w:trHeight w:val="224"/>
        </w:trPr>
        <w:tc>
          <w:tcPr>
            <w:tcW w:w="5080" w:type="dxa"/>
            <w:tcBorders>
              <w:top w:val="nil"/>
              <w:left w:val="nil"/>
              <w:bottom w:val="nil"/>
              <w:right w:val="nil"/>
            </w:tcBorders>
            <w:shd w:val="clear" w:color="auto" w:fill="FFFFFF" w:themeFill="background1"/>
          </w:tcPr>
          <w:p w14:paraId="24FF499F" w14:textId="3F570462" w:rsidR="00B27A62" w:rsidRPr="00781F53" w:rsidRDefault="00B27A62" w:rsidP="00781F53">
            <w:pPr>
              <w:widowControl/>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hAnsi="Arial" w:cs="Arial"/>
                <w:b/>
                <w:bCs/>
                <w:sz w:val="16"/>
                <w:szCs w:val="16"/>
                <w:lang w:val="pt-PT"/>
              </w:rPr>
              <w:t>Other</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comprehensive</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income</w:t>
            </w:r>
            <w:proofErr w:type="spellEnd"/>
            <w:r w:rsidRPr="00781F53">
              <w:rPr>
                <w:rFonts w:ascii="Arial" w:hAnsi="Arial" w:cs="Arial"/>
                <w:b/>
                <w:bCs/>
                <w:sz w:val="16"/>
                <w:szCs w:val="16"/>
                <w:lang w:val="pt-PT"/>
              </w:rPr>
              <w:t xml:space="preserve">, net </w:t>
            </w:r>
            <w:proofErr w:type="spellStart"/>
            <w:r w:rsidRPr="00781F53">
              <w:rPr>
                <w:rFonts w:ascii="Arial" w:hAnsi="Arial" w:cs="Arial"/>
                <w:b/>
                <w:bCs/>
                <w:sz w:val="16"/>
                <w:szCs w:val="16"/>
                <w:lang w:val="pt-PT"/>
              </w:rPr>
              <w:t>of</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tax</w:t>
            </w:r>
            <w:proofErr w:type="spellEnd"/>
          </w:p>
        </w:tc>
        <w:tc>
          <w:tcPr>
            <w:tcW w:w="1740" w:type="dxa"/>
            <w:tcBorders>
              <w:top w:val="nil"/>
              <w:left w:val="nil"/>
              <w:bottom w:val="nil"/>
              <w:right w:val="nil"/>
            </w:tcBorders>
            <w:shd w:val="clear" w:color="auto" w:fill="FFFFFF" w:themeFill="background1"/>
          </w:tcPr>
          <w:p w14:paraId="70B82B71" w14:textId="3AFEEA21" w:rsidR="00B27A62" w:rsidRPr="00781F53" w:rsidRDefault="00B27A62"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(31.0)</w:t>
            </w:r>
          </w:p>
        </w:tc>
        <w:tc>
          <w:tcPr>
            <w:tcW w:w="1680" w:type="dxa"/>
            <w:tcBorders>
              <w:top w:val="nil"/>
              <w:left w:val="nil"/>
              <w:bottom w:val="nil"/>
              <w:right w:val="nil"/>
            </w:tcBorders>
            <w:shd w:val="clear" w:color="auto" w:fill="FFFFFF" w:themeFill="background1"/>
          </w:tcPr>
          <w:p w14:paraId="64678BF7" w14:textId="67CBC2DB" w:rsidR="00B27A62"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(0.4)</w:t>
            </w:r>
          </w:p>
        </w:tc>
      </w:tr>
      <w:tr w:rsidR="003366CB" w:rsidRPr="00781F53" w14:paraId="3AC24906" w14:textId="77777777" w:rsidTr="4A94AE94">
        <w:trPr>
          <w:trHeight w:val="129"/>
        </w:trPr>
        <w:tc>
          <w:tcPr>
            <w:tcW w:w="5080" w:type="dxa"/>
            <w:tcBorders>
              <w:top w:val="nil"/>
              <w:left w:val="nil"/>
              <w:bottom w:val="nil"/>
              <w:right w:val="nil"/>
            </w:tcBorders>
            <w:shd w:val="clear" w:color="auto" w:fill="FFC000" w:themeFill="accent4"/>
          </w:tcPr>
          <w:p w14:paraId="43025CC0" w14:textId="3FE1BFFB" w:rsidR="003366CB" w:rsidRPr="00781F53" w:rsidRDefault="003366CB" w:rsidP="00781F53">
            <w:pPr>
              <w:widowControl/>
              <w:spacing w:line="276" w:lineRule="auto"/>
              <w:rPr>
                <w:rFonts w:ascii="Arial" w:eastAsia="Times New Roman" w:hAnsi="Arial" w:cs="Arial"/>
                <w:b/>
                <w:bCs/>
                <w:color w:val="404040" w:themeColor="text1" w:themeTint="BF"/>
                <w:sz w:val="16"/>
                <w:szCs w:val="16"/>
                <w:lang w:val="pt-PT" w:eastAsia="pl-PL"/>
              </w:rPr>
            </w:pPr>
            <w:r w:rsidRPr="00781F53">
              <w:rPr>
                <w:rFonts w:ascii="Arial" w:hAnsi="Arial" w:cs="Arial"/>
                <w:b/>
                <w:bCs/>
                <w:sz w:val="16"/>
                <w:szCs w:val="16"/>
                <w:lang w:val="pt-PT"/>
              </w:rPr>
              <w:t xml:space="preserve">Total </w:t>
            </w:r>
            <w:proofErr w:type="spellStart"/>
            <w:r w:rsidRPr="00781F53">
              <w:rPr>
                <w:rFonts w:ascii="Arial" w:hAnsi="Arial" w:cs="Arial"/>
                <w:b/>
                <w:bCs/>
                <w:sz w:val="16"/>
                <w:szCs w:val="16"/>
                <w:lang w:val="pt-PT"/>
              </w:rPr>
              <w:t>comprehensive</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income</w:t>
            </w:r>
            <w:proofErr w:type="spellEnd"/>
            <w:r w:rsidR="003A5D97" w:rsidRPr="00781F53">
              <w:rPr>
                <w:rStyle w:val="Refdenotaderodap"/>
                <w:rFonts w:ascii="Arial" w:hAnsi="Arial" w:cs="Arial"/>
                <w:b/>
                <w:bCs/>
                <w:color w:val="404040" w:themeColor="text1" w:themeTint="BF"/>
                <w:sz w:val="16"/>
                <w:szCs w:val="16"/>
                <w:lang w:val="pt-PT" w:eastAsia="pl-PL"/>
              </w:rPr>
              <w:footnoteReference w:id="5"/>
            </w:r>
          </w:p>
        </w:tc>
        <w:tc>
          <w:tcPr>
            <w:tcW w:w="1740" w:type="dxa"/>
            <w:tcBorders>
              <w:top w:val="nil"/>
              <w:left w:val="nil"/>
              <w:bottom w:val="nil"/>
              <w:right w:val="nil"/>
            </w:tcBorders>
            <w:shd w:val="clear" w:color="auto" w:fill="FFC000" w:themeFill="accent4"/>
          </w:tcPr>
          <w:p w14:paraId="4CAD03A5" w14:textId="593C3E89" w:rsidR="003366CB" w:rsidRPr="00781F53" w:rsidRDefault="003366CB"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460.6</w:t>
            </w:r>
          </w:p>
        </w:tc>
        <w:tc>
          <w:tcPr>
            <w:tcW w:w="1680" w:type="dxa"/>
            <w:tcBorders>
              <w:top w:val="nil"/>
              <w:left w:val="nil"/>
              <w:bottom w:val="nil"/>
              <w:right w:val="nil"/>
            </w:tcBorders>
            <w:shd w:val="clear" w:color="auto" w:fill="FFC000" w:themeFill="accent4"/>
          </w:tcPr>
          <w:p w14:paraId="2471BF3D" w14:textId="7737F40B" w:rsidR="003366CB" w:rsidRPr="00781F53" w:rsidRDefault="003366CB"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349.8 </w:t>
            </w:r>
          </w:p>
        </w:tc>
      </w:tr>
      <w:tr w:rsidR="003366CB" w:rsidRPr="00781F53" w14:paraId="37CAB598" w14:textId="77777777" w:rsidTr="4A94AE94">
        <w:trPr>
          <w:trHeight w:val="190"/>
        </w:trPr>
        <w:tc>
          <w:tcPr>
            <w:tcW w:w="5080" w:type="dxa"/>
            <w:tcBorders>
              <w:top w:val="nil"/>
              <w:left w:val="nil"/>
              <w:bottom w:val="nil"/>
              <w:right w:val="nil"/>
            </w:tcBorders>
            <w:shd w:val="clear" w:color="auto" w:fill="FFFFFF" w:themeFill="background1"/>
          </w:tcPr>
          <w:p w14:paraId="0F3633AA" w14:textId="018F34A6" w:rsidR="003366CB" w:rsidRPr="00781F53" w:rsidRDefault="003366CB" w:rsidP="00781F53">
            <w:pPr>
              <w:widowControl/>
              <w:spacing w:line="276" w:lineRule="auto"/>
              <w:rPr>
                <w:rFonts w:ascii="Arial" w:eastAsia="Times New Roman" w:hAnsi="Arial" w:cs="Arial"/>
                <w:b/>
                <w:bCs/>
                <w:color w:val="404040" w:themeColor="text1" w:themeTint="BF"/>
                <w:sz w:val="16"/>
                <w:szCs w:val="16"/>
                <w:lang w:val="pt-PT" w:eastAsia="pl-PL"/>
              </w:rPr>
            </w:pPr>
            <w:r w:rsidRPr="00781F53">
              <w:rPr>
                <w:rFonts w:ascii="Arial" w:hAnsi="Arial" w:cs="Arial"/>
                <w:b/>
                <w:bCs/>
                <w:sz w:val="16"/>
                <w:szCs w:val="16"/>
                <w:lang w:val="pt-PT"/>
              </w:rPr>
              <w:t xml:space="preserve">Net </w:t>
            </w:r>
            <w:proofErr w:type="spellStart"/>
            <w:r w:rsidRPr="00781F53">
              <w:rPr>
                <w:rFonts w:ascii="Arial" w:hAnsi="Arial" w:cs="Arial"/>
                <w:b/>
                <w:bCs/>
                <w:sz w:val="16"/>
                <w:szCs w:val="16"/>
                <w:lang w:val="pt-PT"/>
              </w:rPr>
              <w:t>profit</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loss</w:t>
            </w:r>
            <w:proofErr w:type="spellEnd"/>
            <w:r w:rsidRPr="00781F53">
              <w:rPr>
                <w:rFonts w:ascii="Arial" w:hAnsi="Arial" w:cs="Arial"/>
                <w:b/>
                <w:bCs/>
                <w:sz w:val="16"/>
                <w:szCs w:val="16"/>
                <w:lang w:val="pt-PT"/>
              </w:rPr>
              <w:t xml:space="preserve">) </w:t>
            </w:r>
            <w:proofErr w:type="spellStart"/>
            <w:r w:rsidRPr="00781F53">
              <w:rPr>
                <w:rFonts w:ascii="Arial" w:hAnsi="Arial" w:cs="Arial"/>
                <w:b/>
                <w:bCs/>
                <w:sz w:val="16"/>
                <w:szCs w:val="16"/>
                <w:lang w:val="pt-PT"/>
              </w:rPr>
              <w:t>attributable</w:t>
            </w:r>
            <w:proofErr w:type="spellEnd"/>
            <w:r w:rsidRPr="00781F53">
              <w:rPr>
                <w:rFonts w:ascii="Arial" w:hAnsi="Arial" w:cs="Arial"/>
                <w:b/>
                <w:bCs/>
                <w:sz w:val="16"/>
                <w:szCs w:val="16"/>
                <w:lang w:val="pt-PT"/>
              </w:rPr>
              <w:t xml:space="preserve"> to </w:t>
            </w:r>
            <w:proofErr w:type="spellStart"/>
            <w:r w:rsidRPr="00781F53">
              <w:rPr>
                <w:rFonts w:ascii="Arial" w:hAnsi="Arial" w:cs="Arial"/>
                <w:b/>
                <w:bCs/>
                <w:sz w:val="16"/>
                <w:szCs w:val="16"/>
                <w:lang w:val="pt-PT"/>
              </w:rPr>
              <w:t>owners</w:t>
            </w:r>
            <w:proofErr w:type="spellEnd"/>
            <w:r w:rsidRPr="00781F53">
              <w:rPr>
                <w:rFonts w:ascii="Arial" w:hAnsi="Arial" w:cs="Arial"/>
                <w:b/>
                <w:bCs/>
                <w:sz w:val="16"/>
                <w:szCs w:val="16"/>
                <w:lang w:val="pt-PT"/>
              </w:rPr>
              <w:t>:</w:t>
            </w:r>
          </w:p>
        </w:tc>
        <w:tc>
          <w:tcPr>
            <w:tcW w:w="1740" w:type="dxa"/>
            <w:tcBorders>
              <w:top w:val="nil"/>
              <w:left w:val="nil"/>
              <w:bottom w:val="nil"/>
              <w:right w:val="nil"/>
            </w:tcBorders>
            <w:shd w:val="clear" w:color="auto" w:fill="FFFFFF" w:themeFill="background1"/>
          </w:tcPr>
          <w:p w14:paraId="2D68B1C3" w14:textId="18745EAE"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p>
        </w:tc>
        <w:tc>
          <w:tcPr>
            <w:tcW w:w="1680" w:type="dxa"/>
            <w:tcBorders>
              <w:top w:val="nil"/>
              <w:left w:val="nil"/>
              <w:bottom w:val="nil"/>
              <w:right w:val="nil"/>
            </w:tcBorders>
            <w:shd w:val="clear" w:color="auto" w:fill="FFFFFF" w:themeFill="background1"/>
          </w:tcPr>
          <w:p w14:paraId="247857BD" w14:textId="7AF808BE"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p>
        </w:tc>
      </w:tr>
      <w:tr w:rsidR="003366CB" w:rsidRPr="00781F53" w14:paraId="7567C5AA" w14:textId="77777777" w:rsidTr="4A94AE94">
        <w:trPr>
          <w:trHeight w:val="167"/>
        </w:trPr>
        <w:tc>
          <w:tcPr>
            <w:tcW w:w="5080" w:type="dxa"/>
            <w:tcBorders>
              <w:top w:val="nil"/>
              <w:left w:val="nil"/>
              <w:bottom w:val="nil"/>
              <w:right w:val="nil"/>
            </w:tcBorders>
            <w:shd w:val="clear" w:color="auto" w:fill="FFFFFF" w:themeFill="background1"/>
          </w:tcPr>
          <w:p w14:paraId="70F8055E" w14:textId="6DE363C6" w:rsidR="003366CB" w:rsidRPr="00781F53" w:rsidRDefault="14008EC9" w:rsidP="00781F53">
            <w:pPr>
              <w:spacing w:line="276" w:lineRule="auto"/>
              <w:ind w:left="314"/>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From </w:t>
            </w:r>
            <w:proofErr w:type="spellStart"/>
            <w:r w:rsidRPr="00781F53">
              <w:rPr>
                <w:rFonts w:ascii="Arial" w:eastAsia="Times New Roman" w:hAnsi="Arial" w:cs="Arial"/>
                <w:color w:val="404040" w:themeColor="text1" w:themeTint="BF"/>
                <w:sz w:val="16"/>
                <w:szCs w:val="16"/>
                <w:lang w:val="pt-PT" w:eastAsia="pl-PL"/>
              </w:rPr>
              <w:t>continued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operations</w:t>
            </w:r>
            <w:proofErr w:type="spellEnd"/>
            <w:r w:rsidRPr="00781F53">
              <w:rPr>
                <w:rFonts w:ascii="Arial" w:eastAsia="Times New Roman" w:hAnsi="Arial" w:cs="Arial"/>
                <w:color w:val="404040" w:themeColor="text1" w:themeTint="BF"/>
                <w:sz w:val="16"/>
                <w:szCs w:val="16"/>
                <w:lang w:val="pt-PT" w:eastAsia="pl-PL"/>
              </w:rPr>
              <w:t>:</w:t>
            </w:r>
          </w:p>
        </w:tc>
        <w:tc>
          <w:tcPr>
            <w:tcW w:w="1740" w:type="dxa"/>
            <w:tcBorders>
              <w:top w:val="nil"/>
              <w:left w:val="nil"/>
              <w:bottom w:val="nil"/>
              <w:right w:val="nil"/>
            </w:tcBorders>
            <w:shd w:val="clear" w:color="auto" w:fill="FFFFFF" w:themeFill="background1"/>
          </w:tcPr>
          <w:p w14:paraId="75F2E10E" w14:textId="389A47E0"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491.3 </w:t>
            </w:r>
          </w:p>
        </w:tc>
        <w:tc>
          <w:tcPr>
            <w:tcW w:w="1680" w:type="dxa"/>
            <w:tcBorders>
              <w:top w:val="nil"/>
              <w:left w:val="nil"/>
              <w:bottom w:val="nil"/>
              <w:right w:val="nil"/>
            </w:tcBorders>
            <w:shd w:val="clear" w:color="auto" w:fill="FFFFFF" w:themeFill="background1"/>
          </w:tcPr>
          <w:p w14:paraId="01B0C44F" w14:textId="11C43C36"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351.5 </w:t>
            </w:r>
          </w:p>
        </w:tc>
      </w:tr>
      <w:tr w:rsidR="003366CB" w:rsidRPr="00781F53" w14:paraId="2F8D9BDA" w14:textId="77777777" w:rsidTr="4A94AE94">
        <w:trPr>
          <w:trHeight w:val="181"/>
        </w:trPr>
        <w:tc>
          <w:tcPr>
            <w:tcW w:w="5080" w:type="dxa"/>
            <w:tcBorders>
              <w:top w:val="nil"/>
              <w:left w:val="nil"/>
              <w:bottom w:val="nil"/>
              <w:right w:val="nil"/>
            </w:tcBorders>
            <w:shd w:val="clear" w:color="auto" w:fill="FFFFFF" w:themeFill="background1"/>
          </w:tcPr>
          <w:p w14:paraId="251E8D39" w14:textId="477787DC" w:rsidR="003366CB" w:rsidRPr="00781F53" w:rsidRDefault="14008EC9" w:rsidP="00781F53">
            <w:pPr>
              <w:spacing w:line="276" w:lineRule="auto"/>
              <w:ind w:left="314"/>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From </w:t>
            </w:r>
            <w:proofErr w:type="spellStart"/>
            <w:r w:rsidRPr="00781F53">
              <w:rPr>
                <w:rFonts w:ascii="Arial" w:eastAsia="Times New Roman" w:hAnsi="Arial" w:cs="Arial"/>
                <w:color w:val="404040" w:themeColor="text1" w:themeTint="BF"/>
                <w:sz w:val="16"/>
                <w:szCs w:val="16"/>
                <w:lang w:val="pt-PT" w:eastAsia="pl-PL"/>
              </w:rPr>
              <w:t>discontinued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operations</w:t>
            </w:r>
            <w:proofErr w:type="spellEnd"/>
            <w:r w:rsidRPr="00781F53">
              <w:rPr>
                <w:rFonts w:ascii="Arial" w:eastAsia="Times New Roman" w:hAnsi="Arial" w:cs="Arial"/>
                <w:color w:val="404040" w:themeColor="text1" w:themeTint="BF"/>
                <w:sz w:val="16"/>
                <w:szCs w:val="16"/>
                <w:lang w:val="pt-PT" w:eastAsia="pl-PL"/>
              </w:rPr>
              <w:t>:</w:t>
            </w:r>
          </w:p>
        </w:tc>
        <w:tc>
          <w:tcPr>
            <w:tcW w:w="1740" w:type="dxa"/>
            <w:tcBorders>
              <w:top w:val="nil"/>
              <w:left w:val="nil"/>
              <w:bottom w:val="nil"/>
              <w:right w:val="nil"/>
            </w:tcBorders>
            <w:shd w:val="clear" w:color="auto" w:fill="FFFFFF" w:themeFill="background1"/>
          </w:tcPr>
          <w:p w14:paraId="201C8D10" w14:textId="3046A34F"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0.3 </w:t>
            </w:r>
          </w:p>
        </w:tc>
        <w:tc>
          <w:tcPr>
            <w:tcW w:w="1680" w:type="dxa"/>
            <w:tcBorders>
              <w:top w:val="nil"/>
              <w:left w:val="nil"/>
              <w:bottom w:val="nil"/>
              <w:right w:val="nil"/>
            </w:tcBorders>
            <w:shd w:val="clear" w:color="auto" w:fill="FFFFFF" w:themeFill="background1"/>
          </w:tcPr>
          <w:p w14:paraId="025C71FD" w14:textId="20F3D050"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(1.3)</w:t>
            </w:r>
          </w:p>
        </w:tc>
      </w:tr>
      <w:tr w:rsidR="003366CB" w:rsidRPr="00781F53" w14:paraId="6F415EBB" w14:textId="77777777" w:rsidTr="4A94AE94">
        <w:trPr>
          <w:trHeight w:val="300"/>
        </w:trPr>
        <w:tc>
          <w:tcPr>
            <w:tcW w:w="5080" w:type="dxa"/>
            <w:tcBorders>
              <w:top w:val="nil"/>
              <w:left w:val="nil"/>
              <w:bottom w:val="nil"/>
              <w:right w:val="nil"/>
            </w:tcBorders>
            <w:shd w:val="clear" w:color="auto" w:fill="FFFFFF" w:themeFill="background1"/>
            <w:vAlign w:val="center"/>
          </w:tcPr>
          <w:p w14:paraId="2CB16121" w14:textId="08AEBB59" w:rsidR="003366CB" w:rsidRPr="00781F53" w:rsidRDefault="003366CB" w:rsidP="00781F53">
            <w:pPr>
              <w:widowControl/>
              <w:spacing w:line="276" w:lineRule="auto"/>
              <w:rPr>
                <w:rFonts w:ascii="Arial" w:eastAsia="Times New Roman" w:hAnsi="Arial" w:cs="Arial"/>
                <w:color w:val="404040" w:themeColor="text1" w:themeTint="BF"/>
                <w:sz w:val="16"/>
                <w:szCs w:val="16"/>
                <w:lang w:val="pt-PT" w:eastAsia="pl-PL"/>
              </w:rPr>
            </w:pPr>
            <w:r w:rsidRPr="00781F53">
              <w:rPr>
                <w:rFonts w:ascii="Arial" w:hAnsi="Arial" w:cs="Arial"/>
                <w:b/>
                <w:color w:val="000000"/>
                <w:sz w:val="16"/>
                <w:szCs w:val="16"/>
                <w:lang w:val="pt-PT"/>
              </w:rPr>
              <w:t xml:space="preserve">Total </w:t>
            </w:r>
            <w:proofErr w:type="spellStart"/>
            <w:r w:rsidRPr="00781F53">
              <w:rPr>
                <w:rFonts w:ascii="Arial" w:hAnsi="Arial" w:cs="Arial"/>
                <w:b/>
                <w:color w:val="000000"/>
                <w:sz w:val="16"/>
                <w:szCs w:val="16"/>
                <w:lang w:val="pt-PT"/>
              </w:rPr>
              <w:t>comprehensive</w:t>
            </w:r>
            <w:proofErr w:type="spellEnd"/>
            <w:r w:rsidRPr="00781F53">
              <w:rPr>
                <w:rFonts w:ascii="Arial" w:hAnsi="Arial" w:cs="Arial"/>
                <w:b/>
                <w:color w:val="000000"/>
                <w:sz w:val="16"/>
                <w:szCs w:val="16"/>
                <w:lang w:val="pt-PT"/>
              </w:rPr>
              <w:t xml:space="preserve"> </w:t>
            </w:r>
            <w:proofErr w:type="spellStart"/>
            <w:r w:rsidRPr="00781F53">
              <w:rPr>
                <w:rFonts w:ascii="Arial" w:hAnsi="Arial" w:cs="Arial"/>
                <w:b/>
                <w:color w:val="000000"/>
                <w:sz w:val="16"/>
                <w:szCs w:val="16"/>
                <w:lang w:val="pt-PT"/>
              </w:rPr>
              <w:t>income</w:t>
            </w:r>
            <w:proofErr w:type="spellEnd"/>
            <w:r w:rsidRPr="00781F53">
              <w:rPr>
                <w:rFonts w:ascii="Arial" w:hAnsi="Arial" w:cs="Arial"/>
                <w:b/>
                <w:color w:val="000000"/>
                <w:sz w:val="16"/>
                <w:szCs w:val="16"/>
                <w:lang w:val="pt-PT"/>
              </w:rPr>
              <w:t xml:space="preserve"> </w:t>
            </w:r>
            <w:proofErr w:type="spellStart"/>
            <w:r w:rsidRPr="00781F53">
              <w:rPr>
                <w:rFonts w:ascii="Arial" w:hAnsi="Arial" w:cs="Arial"/>
                <w:b/>
                <w:color w:val="000000"/>
                <w:sz w:val="16"/>
                <w:szCs w:val="16"/>
                <w:lang w:val="pt-PT"/>
              </w:rPr>
              <w:t>attributable</w:t>
            </w:r>
            <w:proofErr w:type="spellEnd"/>
            <w:r w:rsidRPr="00781F53">
              <w:rPr>
                <w:rFonts w:ascii="Arial" w:hAnsi="Arial" w:cs="Arial"/>
                <w:b/>
                <w:color w:val="000000"/>
                <w:sz w:val="16"/>
                <w:szCs w:val="16"/>
                <w:lang w:val="pt-PT"/>
              </w:rPr>
              <w:t xml:space="preserve"> to </w:t>
            </w:r>
            <w:proofErr w:type="spellStart"/>
            <w:r w:rsidRPr="00781F53">
              <w:rPr>
                <w:rFonts w:ascii="Arial" w:hAnsi="Arial" w:cs="Arial"/>
                <w:b/>
                <w:color w:val="000000"/>
                <w:sz w:val="16"/>
                <w:szCs w:val="16"/>
                <w:lang w:val="pt-PT"/>
              </w:rPr>
              <w:t>owners</w:t>
            </w:r>
            <w:proofErr w:type="spellEnd"/>
            <w:r w:rsidRPr="00781F53">
              <w:rPr>
                <w:rFonts w:ascii="Arial" w:hAnsi="Arial" w:cs="Arial"/>
                <w:b/>
                <w:color w:val="000000"/>
                <w:sz w:val="16"/>
                <w:szCs w:val="16"/>
                <w:lang w:val="pt-PT"/>
              </w:rPr>
              <w:t>:</w:t>
            </w:r>
          </w:p>
        </w:tc>
        <w:tc>
          <w:tcPr>
            <w:tcW w:w="1740" w:type="dxa"/>
            <w:tcBorders>
              <w:top w:val="nil"/>
              <w:left w:val="nil"/>
              <w:bottom w:val="nil"/>
              <w:right w:val="nil"/>
            </w:tcBorders>
            <w:shd w:val="clear" w:color="auto" w:fill="FFFFFF" w:themeFill="background1"/>
          </w:tcPr>
          <w:p w14:paraId="2BE80BFA" w14:textId="77777777"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p>
        </w:tc>
        <w:tc>
          <w:tcPr>
            <w:tcW w:w="1680" w:type="dxa"/>
            <w:tcBorders>
              <w:top w:val="nil"/>
              <w:left w:val="nil"/>
              <w:bottom w:val="nil"/>
              <w:right w:val="nil"/>
            </w:tcBorders>
            <w:shd w:val="clear" w:color="auto" w:fill="FFFFFF" w:themeFill="background1"/>
          </w:tcPr>
          <w:p w14:paraId="00203943" w14:textId="77777777"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p>
        </w:tc>
      </w:tr>
      <w:tr w:rsidR="003366CB" w:rsidRPr="00781F53" w14:paraId="1B45A0A3" w14:textId="77777777" w:rsidTr="4A94AE94">
        <w:trPr>
          <w:trHeight w:val="229"/>
        </w:trPr>
        <w:tc>
          <w:tcPr>
            <w:tcW w:w="5080" w:type="dxa"/>
            <w:tcBorders>
              <w:top w:val="nil"/>
              <w:left w:val="nil"/>
              <w:bottom w:val="nil"/>
              <w:right w:val="nil"/>
            </w:tcBorders>
            <w:shd w:val="clear" w:color="auto" w:fill="FFFFFF" w:themeFill="background1"/>
            <w:vAlign w:val="center"/>
          </w:tcPr>
          <w:p w14:paraId="06C2DCA4" w14:textId="4A221F65" w:rsidR="003366CB" w:rsidRPr="00781F53" w:rsidRDefault="14008EC9" w:rsidP="00781F53">
            <w:pPr>
              <w:spacing w:line="276" w:lineRule="auto"/>
              <w:ind w:left="314"/>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From </w:t>
            </w:r>
            <w:proofErr w:type="spellStart"/>
            <w:r w:rsidRPr="00781F53">
              <w:rPr>
                <w:rFonts w:ascii="Arial" w:eastAsia="Times New Roman" w:hAnsi="Arial" w:cs="Arial"/>
                <w:color w:val="404040" w:themeColor="text1" w:themeTint="BF"/>
                <w:sz w:val="16"/>
                <w:szCs w:val="16"/>
                <w:lang w:val="pt-PT" w:eastAsia="pl-PL"/>
              </w:rPr>
              <w:t>continued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operations</w:t>
            </w:r>
            <w:proofErr w:type="spellEnd"/>
            <w:r w:rsidRPr="00781F53">
              <w:rPr>
                <w:rFonts w:ascii="Arial" w:eastAsia="Times New Roman" w:hAnsi="Arial" w:cs="Arial"/>
                <w:color w:val="404040" w:themeColor="text1" w:themeTint="BF"/>
                <w:sz w:val="16"/>
                <w:szCs w:val="16"/>
                <w:lang w:val="pt-PT" w:eastAsia="pl-PL"/>
              </w:rPr>
              <w:t>:</w:t>
            </w:r>
          </w:p>
        </w:tc>
        <w:tc>
          <w:tcPr>
            <w:tcW w:w="1740" w:type="dxa"/>
            <w:tcBorders>
              <w:top w:val="nil"/>
              <w:left w:val="nil"/>
              <w:bottom w:val="nil"/>
              <w:right w:val="nil"/>
            </w:tcBorders>
            <w:shd w:val="clear" w:color="auto" w:fill="FFFFFF" w:themeFill="background1"/>
          </w:tcPr>
          <w:p w14:paraId="7C9722DE" w14:textId="2699A28B"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454.6 </w:t>
            </w:r>
          </w:p>
        </w:tc>
        <w:tc>
          <w:tcPr>
            <w:tcW w:w="1680" w:type="dxa"/>
            <w:tcBorders>
              <w:top w:val="nil"/>
              <w:left w:val="nil"/>
              <w:bottom w:val="nil"/>
              <w:right w:val="nil"/>
            </w:tcBorders>
            <w:shd w:val="clear" w:color="auto" w:fill="FFFFFF" w:themeFill="background1"/>
          </w:tcPr>
          <w:p w14:paraId="4D218DB1" w14:textId="6EFD73F4"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357.3 </w:t>
            </w:r>
          </w:p>
        </w:tc>
      </w:tr>
      <w:tr w:rsidR="003366CB" w:rsidRPr="00781F53" w14:paraId="790DEA06" w14:textId="77777777" w:rsidTr="4A94AE94">
        <w:trPr>
          <w:trHeight w:val="147"/>
        </w:trPr>
        <w:tc>
          <w:tcPr>
            <w:tcW w:w="5080" w:type="dxa"/>
            <w:tcBorders>
              <w:top w:val="nil"/>
              <w:left w:val="nil"/>
              <w:bottom w:val="nil"/>
              <w:right w:val="nil"/>
            </w:tcBorders>
            <w:shd w:val="clear" w:color="auto" w:fill="FFFFFF" w:themeFill="background1"/>
            <w:vAlign w:val="center"/>
          </w:tcPr>
          <w:p w14:paraId="271F6717" w14:textId="7C6B1D39" w:rsidR="003366CB" w:rsidRPr="00781F53" w:rsidRDefault="14008EC9" w:rsidP="00781F53">
            <w:pPr>
              <w:spacing w:line="276" w:lineRule="auto"/>
              <w:ind w:left="314"/>
              <w:rPr>
                <w:rFonts w:ascii="Arial"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From </w:t>
            </w:r>
            <w:proofErr w:type="spellStart"/>
            <w:r w:rsidRPr="00781F53">
              <w:rPr>
                <w:rFonts w:ascii="Arial" w:eastAsia="Times New Roman" w:hAnsi="Arial" w:cs="Arial"/>
                <w:color w:val="404040" w:themeColor="text1" w:themeTint="BF"/>
                <w:sz w:val="16"/>
                <w:szCs w:val="16"/>
                <w:lang w:val="pt-PT" w:eastAsia="pl-PL"/>
              </w:rPr>
              <w:t>discontinued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operations</w:t>
            </w:r>
            <w:proofErr w:type="spellEnd"/>
            <w:r w:rsidRPr="00781F53">
              <w:rPr>
                <w:rFonts w:ascii="Arial" w:eastAsia="Times New Roman" w:hAnsi="Arial" w:cs="Arial"/>
                <w:color w:val="404040" w:themeColor="text1" w:themeTint="BF"/>
                <w:sz w:val="16"/>
                <w:szCs w:val="16"/>
                <w:lang w:val="pt-PT" w:eastAsia="pl-PL"/>
              </w:rPr>
              <w:t>:</w:t>
            </w:r>
          </w:p>
        </w:tc>
        <w:tc>
          <w:tcPr>
            <w:tcW w:w="1740" w:type="dxa"/>
            <w:tcBorders>
              <w:top w:val="nil"/>
              <w:left w:val="nil"/>
              <w:bottom w:val="nil"/>
              <w:right w:val="nil"/>
            </w:tcBorders>
            <w:shd w:val="clear" w:color="auto" w:fill="FFFFFF" w:themeFill="background1"/>
          </w:tcPr>
          <w:p w14:paraId="7AC2A7AF" w14:textId="0C564018"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6.0 </w:t>
            </w:r>
          </w:p>
        </w:tc>
        <w:tc>
          <w:tcPr>
            <w:tcW w:w="1680" w:type="dxa"/>
            <w:tcBorders>
              <w:top w:val="nil"/>
              <w:left w:val="nil"/>
              <w:bottom w:val="nil"/>
              <w:right w:val="nil"/>
            </w:tcBorders>
            <w:shd w:val="clear" w:color="auto" w:fill="FFFFFF" w:themeFill="background1"/>
          </w:tcPr>
          <w:p w14:paraId="18A7D11C" w14:textId="63E59449" w:rsidR="003366CB" w:rsidRPr="00781F53" w:rsidRDefault="003366CB"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(7.5)</w:t>
            </w:r>
          </w:p>
        </w:tc>
      </w:tr>
      <w:tr w:rsidR="7CD69C3A" w:rsidRPr="00781F53" w14:paraId="74370CD2" w14:textId="77777777" w:rsidTr="4A94AE94">
        <w:trPr>
          <w:trHeight w:val="300"/>
        </w:trPr>
        <w:tc>
          <w:tcPr>
            <w:tcW w:w="5080" w:type="dxa"/>
            <w:tcBorders>
              <w:top w:val="nil"/>
              <w:left w:val="nil"/>
              <w:bottom w:val="nil"/>
              <w:right w:val="nil"/>
            </w:tcBorders>
            <w:shd w:val="clear" w:color="auto" w:fill="D9D9D9" w:themeFill="background1" w:themeFillShade="D9"/>
            <w:vAlign w:val="center"/>
          </w:tcPr>
          <w:p w14:paraId="3EE437B0" w14:textId="0246238A" w:rsidR="000530F5" w:rsidRPr="00781F53" w:rsidRDefault="003366CB" w:rsidP="00781F53">
            <w:pPr>
              <w:widowControl/>
              <w:spacing w:line="276" w:lineRule="auto"/>
              <w:rPr>
                <w:rFonts w:ascii="Arial" w:eastAsia="Times New Roman" w:hAnsi="Arial" w:cs="Arial"/>
                <w:b/>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Basic/diluted</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earnings</w:t>
            </w:r>
            <w:proofErr w:type="spellEnd"/>
            <w:r w:rsidRPr="00781F53">
              <w:rPr>
                <w:rFonts w:ascii="Arial" w:eastAsia="Times New Roman" w:hAnsi="Arial" w:cs="Arial"/>
                <w:b/>
                <w:bCs/>
                <w:color w:val="404040" w:themeColor="text1" w:themeTint="BF"/>
                <w:sz w:val="16"/>
                <w:szCs w:val="16"/>
                <w:lang w:val="pt-PT" w:eastAsia="pl-PL"/>
              </w:rPr>
              <w:t xml:space="preserve"> per share (</w:t>
            </w:r>
            <w:proofErr w:type="spellStart"/>
            <w:r w:rsidRPr="00781F53">
              <w:rPr>
                <w:rFonts w:ascii="Arial" w:eastAsia="Times New Roman" w:hAnsi="Arial" w:cs="Arial"/>
                <w:b/>
                <w:bCs/>
                <w:color w:val="404040" w:themeColor="text1" w:themeTint="BF"/>
                <w:sz w:val="16"/>
                <w:szCs w:val="16"/>
                <w:lang w:val="pt-PT" w:eastAsia="pl-PL"/>
              </w:rPr>
              <w:t>in</w:t>
            </w:r>
            <w:proofErr w:type="spellEnd"/>
            <w:r w:rsidRPr="00781F53">
              <w:rPr>
                <w:rFonts w:ascii="Arial" w:eastAsia="Times New Roman" w:hAnsi="Arial" w:cs="Arial"/>
                <w:b/>
                <w:bCs/>
                <w:color w:val="404040" w:themeColor="text1" w:themeTint="BF"/>
                <w:sz w:val="16"/>
                <w:szCs w:val="16"/>
                <w:lang w:val="pt-PT" w:eastAsia="pl-PL"/>
              </w:rPr>
              <w:t xml:space="preserve"> PLN)</w:t>
            </w:r>
          </w:p>
        </w:tc>
        <w:tc>
          <w:tcPr>
            <w:tcW w:w="1740" w:type="dxa"/>
            <w:tcBorders>
              <w:top w:val="nil"/>
              <w:left w:val="nil"/>
              <w:bottom w:val="nil"/>
              <w:right w:val="nil"/>
            </w:tcBorders>
            <w:shd w:val="clear" w:color="auto" w:fill="D9D9D9" w:themeFill="background1" w:themeFillShade="D9"/>
          </w:tcPr>
          <w:p w14:paraId="5427DE8B" w14:textId="79769DDE" w:rsidR="000530F5" w:rsidRPr="00781F53" w:rsidRDefault="003366CB" w:rsidP="00781F53">
            <w:pPr>
              <w:spacing w:line="276" w:lineRule="auto"/>
              <w:jc w:val="center"/>
              <w:rPr>
                <w:rFonts w:ascii="Arial" w:hAnsi="Arial" w:cs="Arial"/>
                <w:b/>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0.98</w:t>
            </w:r>
          </w:p>
        </w:tc>
        <w:tc>
          <w:tcPr>
            <w:tcW w:w="1680" w:type="dxa"/>
            <w:tcBorders>
              <w:top w:val="nil"/>
              <w:left w:val="nil"/>
              <w:bottom w:val="nil"/>
              <w:right w:val="nil"/>
            </w:tcBorders>
            <w:shd w:val="clear" w:color="auto" w:fill="D9D9D9" w:themeFill="background1" w:themeFillShade="D9"/>
          </w:tcPr>
          <w:p w14:paraId="7223316D" w14:textId="56933652" w:rsidR="000530F5" w:rsidRPr="00781F53" w:rsidRDefault="003366CB" w:rsidP="00781F53">
            <w:pPr>
              <w:spacing w:line="276" w:lineRule="auto"/>
              <w:jc w:val="center"/>
              <w:rPr>
                <w:rFonts w:ascii="Arial" w:hAnsi="Arial" w:cs="Arial"/>
                <w:b/>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0.69</w:t>
            </w:r>
          </w:p>
        </w:tc>
      </w:tr>
      <w:tr w:rsidR="003366CB" w:rsidRPr="00781F53" w14:paraId="69B82AA6" w14:textId="77777777" w:rsidTr="4A94AE94">
        <w:trPr>
          <w:trHeight w:val="300"/>
        </w:trPr>
        <w:tc>
          <w:tcPr>
            <w:tcW w:w="5080" w:type="dxa"/>
            <w:tcBorders>
              <w:top w:val="nil"/>
              <w:left w:val="nil"/>
              <w:bottom w:val="nil"/>
              <w:right w:val="nil"/>
            </w:tcBorders>
            <w:shd w:val="clear" w:color="auto" w:fill="D9D9D9" w:themeFill="background1" w:themeFillShade="D9"/>
            <w:vAlign w:val="center"/>
          </w:tcPr>
          <w:p w14:paraId="2FD59785" w14:textId="0AED00F4" w:rsidR="003366CB" w:rsidRPr="00781F53" w:rsidRDefault="003366CB" w:rsidP="00781F53">
            <w:pPr>
              <w:widowControl/>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Basic/diluted</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earnings</w:t>
            </w:r>
            <w:proofErr w:type="spellEnd"/>
            <w:r w:rsidRPr="00781F53">
              <w:rPr>
                <w:rFonts w:ascii="Arial" w:eastAsia="Times New Roman" w:hAnsi="Arial" w:cs="Arial"/>
                <w:b/>
                <w:bCs/>
                <w:color w:val="404040" w:themeColor="text1" w:themeTint="BF"/>
                <w:sz w:val="16"/>
                <w:szCs w:val="16"/>
                <w:lang w:val="pt-PT" w:eastAsia="pl-PL"/>
              </w:rPr>
              <w:t xml:space="preserve"> per share (</w:t>
            </w:r>
            <w:proofErr w:type="spellStart"/>
            <w:r w:rsidRPr="00781F53">
              <w:rPr>
                <w:rFonts w:ascii="Arial" w:eastAsia="Times New Roman" w:hAnsi="Arial" w:cs="Arial"/>
                <w:b/>
                <w:bCs/>
                <w:color w:val="404040" w:themeColor="text1" w:themeTint="BF"/>
                <w:sz w:val="16"/>
                <w:szCs w:val="16"/>
                <w:lang w:val="pt-PT" w:eastAsia="pl-PL"/>
              </w:rPr>
              <w:t>in</w:t>
            </w:r>
            <w:proofErr w:type="spellEnd"/>
            <w:r w:rsidRPr="00781F53">
              <w:rPr>
                <w:rFonts w:ascii="Arial" w:eastAsia="Times New Roman" w:hAnsi="Arial" w:cs="Arial"/>
                <w:b/>
                <w:bCs/>
                <w:color w:val="404040" w:themeColor="text1" w:themeTint="BF"/>
                <w:sz w:val="16"/>
                <w:szCs w:val="16"/>
                <w:lang w:val="pt-PT" w:eastAsia="pl-PL"/>
              </w:rPr>
              <w:t xml:space="preserve"> PLN) – </w:t>
            </w:r>
            <w:proofErr w:type="spellStart"/>
            <w:r w:rsidRPr="00781F53">
              <w:rPr>
                <w:rFonts w:ascii="Arial" w:eastAsia="Times New Roman" w:hAnsi="Arial" w:cs="Arial"/>
                <w:b/>
                <w:bCs/>
                <w:color w:val="404040" w:themeColor="text1" w:themeTint="BF"/>
                <w:sz w:val="16"/>
                <w:szCs w:val="16"/>
                <w:lang w:val="pt-PT" w:eastAsia="pl-PL"/>
              </w:rPr>
              <w:t>Continuing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operations</w:t>
            </w:r>
            <w:proofErr w:type="spellEnd"/>
          </w:p>
        </w:tc>
        <w:tc>
          <w:tcPr>
            <w:tcW w:w="1740" w:type="dxa"/>
            <w:tcBorders>
              <w:top w:val="nil"/>
              <w:left w:val="nil"/>
              <w:bottom w:val="nil"/>
              <w:right w:val="nil"/>
            </w:tcBorders>
            <w:shd w:val="clear" w:color="auto" w:fill="D9D9D9" w:themeFill="background1" w:themeFillShade="D9"/>
          </w:tcPr>
          <w:p w14:paraId="30229B5D" w14:textId="6897DE8C" w:rsidR="003366CB" w:rsidRPr="00781F53" w:rsidRDefault="003366CB"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0.98</w:t>
            </w:r>
          </w:p>
        </w:tc>
        <w:tc>
          <w:tcPr>
            <w:tcW w:w="1680" w:type="dxa"/>
            <w:tcBorders>
              <w:top w:val="nil"/>
              <w:left w:val="nil"/>
              <w:bottom w:val="nil"/>
              <w:right w:val="nil"/>
            </w:tcBorders>
            <w:shd w:val="clear" w:color="auto" w:fill="D9D9D9" w:themeFill="background1" w:themeFillShade="D9"/>
          </w:tcPr>
          <w:p w14:paraId="3AAF14A7" w14:textId="25419D3E" w:rsidR="003366CB" w:rsidRPr="00781F53" w:rsidRDefault="003366CB"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0.69</w:t>
            </w:r>
          </w:p>
        </w:tc>
      </w:tr>
      <w:tr w:rsidR="7CD69C3A" w:rsidRPr="00781F53" w14:paraId="33AE92AC" w14:textId="77777777" w:rsidTr="4A94AE94">
        <w:trPr>
          <w:trHeight w:val="300"/>
        </w:trPr>
        <w:tc>
          <w:tcPr>
            <w:tcW w:w="5080" w:type="dxa"/>
            <w:tcBorders>
              <w:top w:val="nil"/>
              <w:left w:val="nil"/>
              <w:bottom w:val="nil"/>
              <w:right w:val="nil"/>
            </w:tcBorders>
            <w:shd w:val="clear" w:color="auto" w:fill="D9D9D9" w:themeFill="background1" w:themeFillShade="D9"/>
            <w:vAlign w:val="center"/>
          </w:tcPr>
          <w:p w14:paraId="3377A601" w14:textId="41B50123" w:rsidR="000530F5" w:rsidRPr="00781F53" w:rsidRDefault="003366CB" w:rsidP="00781F53">
            <w:pPr>
              <w:widowControl/>
              <w:spacing w:line="276" w:lineRule="auto"/>
              <w:rPr>
                <w:rFonts w:ascii="Arial" w:eastAsia="Times New Roman" w:hAnsi="Arial" w:cs="Arial"/>
                <w:b/>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Basic/diluted</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earnings</w:t>
            </w:r>
            <w:proofErr w:type="spellEnd"/>
            <w:r w:rsidRPr="00781F53">
              <w:rPr>
                <w:rFonts w:ascii="Arial" w:eastAsia="Times New Roman" w:hAnsi="Arial" w:cs="Arial"/>
                <w:b/>
                <w:bCs/>
                <w:color w:val="404040" w:themeColor="text1" w:themeTint="BF"/>
                <w:sz w:val="16"/>
                <w:szCs w:val="16"/>
                <w:lang w:val="pt-PT" w:eastAsia="pl-PL"/>
              </w:rPr>
              <w:t xml:space="preserve"> per share (</w:t>
            </w:r>
            <w:proofErr w:type="spellStart"/>
            <w:r w:rsidRPr="00781F53">
              <w:rPr>
                <w:rFonts w:ascii="Arial" w:eastAsia="Times New Roman" w:hAnsi="Arial" w:cs="Arial"/>
                <w:b/>
                <w:bCs/>
                <w:color w:val="404040" w:themeColor="text1" w:themeTint="BF"/>
                <w:sz w:val="16"/>
                <w:szCs w:val="16"/>
                <w:lang w:val="pt-PT" w:eastAsia="pl-PL"/>
              </w:rPr>
              <w:t>in</w:t>
            </w:r>
            <w:proofErr w:type="spellEnd"/>
            <w:r w:rsidRPr="00781F53">
              <w:rPr>
                <w:rFonts w:ascii="Arial" w:eastAsia="Times New Roman" w:hAnsi="Arial" w:cs="Arial"/>
                <w:b/>
                <w:bCs/>
                <w:color w:val="404040" w:themeColor="text1" w:themeTint="BF"/>
                <w:sz w:val="16"/>
                <w:szCs w:val="16"/>
                <w:lang w:val="pt-PT" w:eastAsia="pl-PL"/>
              </w:rPr>
              <w:t xml:space="preserve"> PLN) – </w:t>
            </w:r>
            <w:proofErr w:type="spellStart"/>
            <w:r w:rsidRPr="00781F53">
              <w:rPr>
                <w:rFonts w:ascii="Arial" w:eastAsia="Times New Roman" w:hAnsi="Arial" w:cs="Arial"/>
                <w:b/>
                <w:bCs/>
                <w:color w:val="404040" w:themeColor="text1" w:themeTint="BF"/>
                <w:sz w:val="16"/>
                <w:szCs w:val="16"/>
                <w:lang w:val="pt-PT" w:eastAsia="pl-PL"/>
              </w:rPr>
              <w:t>Discontinued</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operations</w:t>
            </w:r>
            <w:proofErr w:type="spellEnd"/>
          </w:p>
        </w:tc>
        <w:tc>
          <w:tcPr>
            <w:tcW w:w="1740" w:type="dxa"/>
            <w:tcBorders>
              <w:top w:val="nil"/>
              <w:left w:val="nil"/>
              <w:bottom w:val="nil"/>
              <w:right w:val="nil"/>
            </w:tcBorders>
            <w:shd w:val="clear" w:color="auto" w:fill="D9D9D9" w:themeFill="background1" w:themeFillShade="D9"/>
          </w:tcPr>
          <w:p w14:paraId="016306C2" w14:textId="613A1B14" w:rsidR="000530F5" w:rsidRPr="00781F53" w:rsidRDefault="003366CB" w:rsidP="00781F53">
            <w:pPr>
              <w:widowControl/>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0.00</w:t>
            </w:r>
          </w:p>
        </w:tc>
        <w:tc>
          <w:tcPr>
            <w:tcW w:w="1680" w:type="dxa"/>
            <w:tcBorders>
              <w:top w:val="nil"/>
              <w:left w:val="nil"/>
              <w:bottom w:val="nil"/>
              <w:right w:val="nil"/>
            </w:tcBorders>
            <w:shd w:val="clear" w:color="auto" w:fill="D9D9D9" w:themeFill="background1" w:themeFillShade="D9"/>
          </w:tcPr>
          <w:p w14:paraId="4DF41714" w14:textId="0D2DBA04" w:rsidR="000530F5" w:rsidRPr="00781F53" w:rsidRDefault="003366CB" w:rsidP="00781F53">
            <w:pPr>
              <w:widowControl/>
              <w:spacing w:line="276" w:lineRule="auto"/>
              <w:jc w:val="center"/>
              <w:rPr>
                <w:rFonts w:ascii="Arial" w:eastAsia="Times New Roman"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0.00</w:t>
            </w:r>
          </w:p>
        </w:tc>
      </w:tr>
    </w:tbl>
    <w:p w14:paraId="2B4E40B5" w14:textId="016D3AC6" w:rsidR="7CD69C3A" w:rsidRPr="00781F53" w:rsidRDefault="7CD69C3A" w:rsidP="00781F53">
      <w:pPr>
        <w:widowControl/>
        <w:spacing w:line="276" w:lineRule="auto"/>
        <w:rPr>
          <w:rFonts w:ascii="Arial" w:eastAsia="Times New Roman" w:hAnsi="Arial" w:cs="Arial"/>
          <w:b/>
          <w:color w:val="404040" w:themeColor="text1" w:themeTint="BF"/>
          <w:sz w:val="12"/>
          <w:szCs w:val="12"/>
          <w:lang w:val="pt-PT" w:eastAsia="pl-PL"/>
        </w:rPr>
      </w:pPr>
    </w:p>
    <w:p w14:paraId="11E575B0" w14:textId="0D7997BF" w:rsidR="00790AC9" w:rsidRPr="00781F53" w:rsidRDefault="004C019C" w:rsidP="004C019C">
      <w:pPr>
        <w:widowControl/>
        <w:autoSpaceDE/>
        <w:autoSpaceDN/>
        <w:spacing w:after="160" w:line="276" w:lineRule="auto"/>
        <w:rPr>
          <w:rFonts w:ascii="Arial" w:hAnsi="Arial" w:cs="Arial"/>
          <w:b/>
          <w:color w:val="404040" w:themeColor="text1" w:themeTint="BF"/>
          <w:sz w:val="18"/>
          <w:szCs w:val="18"/>
          <w:lang w:val="pt-PT"/>
        </w:rPr>
      </w:pPr>
      <w:r w:rsidRPr="004C019C">
        <w:rPr>
          <w:rFonts w:ascii="Arial" w:hAnsi="Arial" w:cs="Arial"/>
          <w:b/>
          <w:bCs/>
          <w:color w:val="404040" w:themeColor="text1" w:themeTint="BF"/>
          <w:sz w:val="20"/>
          <w:szCs w:val="20"/>
          <w:lang w:val="pt-PT"/>
        </w:rPr>
        <w:t>Declaração consolidada da posição financeira</w:t>
      </w:r>
    </w:p>
    <w:p w14:paraId="22048CB0" w14:textId="77777777" w:rsidR="00883309" w:rsidRPr="00781F53" w:rsidRDefault="00883309" w:rsidP="00781F53">
      <w:pPr>
        <w:widowControl/>
        <w:spacing w:after="160" w:line="276" w:lineRule="auto"/>
        <w:rPr>
          <w:rFonts w:ascii="Arial" w:hAnsi="Arial" w:cs="Arial"/>
          <w:color w:val="404040" w:themeColor="text1" w:themeTint="BF"/>
          <w:sz w:val="18"/>
          <w:szCs w:val="18"/>
          <w:lang w:val="pt-PT"/>
        </w:rPr>
      </w:pPr>
    </w:p>
    <w:tbl>
      <w:tblPr>
        <w:tblW w:w="0" w:type="auto"/>
        <w:tblLook w:val="04A0" w:firstRow="1" w:lastRow="0" w:firstColumn="1" w:lastColumn="0" w:noHBand="0" w:noVBand="1"/>
      </w:tblPr>
      <w:tblGrid>
        <w:gridCol w:w="5080"/>
        <w:gridCol w:w="1740"/>
        <w:gridCol w:w="1680"/>
      </w:tblGrid>
      <w:tr w:rsidR="00883309" w:rsidRPr="00781F53" w14:paraId="3D6E9C56" w14:textId="77777777" w:rsidTr="4A94AE94">
        <w:trPr>
          <w:trHeight w:val="300"/>
        </w:trPr>
        <w:tc>
          <w:tcPr>
            <w:tcW w:w="5080" w:type="dxa"/>
            <w:tcBorders>
              <w:top w:val="nil"/>
              <w:left w:val="nil"/>
              <w:bottom w:val="nil"/>
              <w:right w:val="nil"/>
            </w:tcBorders>
            <w:shd w:val="clear" w:color="auto" w:fill="FFCB04"/>
            <w:vAlign w:val="center"/>
          </w:tcPr>
          <w:p w14:paraId="69E5AA68" w14:textId="76721E05" w:rsidR="00883309" w:rsidRPr="00781F53" w:rsidRDefault="004C019C" w:rsidP="00781F53">
            <w:pPr>
              <w:widowControl/>
              <w:spacing w:line="276" w:lineRule="auto"/>
              <w:rPr>
                <w:rFonts w:ascii="Arial" w:eastAsia="Times New Roman" w:hAnsi="Arial" w:cs="Arial"/>
                <w:b/>
                <w:bCs/>
                <w:color w:val="404040" w:themeColor="text1" w:themeTint="BF"/>
                <w:sz w:val="16"/>
                <w:szCs w:val="16"/>
                <w:lang w:val="pt-PT" w:eastAsia="pl-PL"/>
              </w:rPr>
            </w:pPr>
            <w:r>
              <w:rPr>
                <w:rFonts w:ascii="Arial" w:eastAsia="Times New Roman" w:hAnsi="Arial" w:cs="Arial"/>
                <w:b/>
                <w:bCs/>
                <w:color w:val="404040"/>
                <w:sz w:val="14"/>
                <w:szCs w:val="14"/>
                <w:lang w:val="pt-PT" w:eastAsia="pl-PL"/>
              </w:rPr>
              <w:t xml:space="preserve">Milhões de zloty </w:t>
            </w:r>
            <w:proofErr w:type="gramStart"/>
            <w:r w:rsidRPr="00E91000">
              <w:rPr>
                <w:rFonts w:ascii="Arial" w:eastAsia="Times New Roman" w:hAnsi="Arial" w:cs="Arial"/>
                <w:b/>
                <w:bCs/>
                <w:color w:val="404040"/>
                <w:sz w:val="14"/>
                <w:szCs w:val="14"/>
                <w:lang w:val="pt-PT" w:eastAsia="pl-PL"/>
              </w:rPr>
              <w:t>salvo</w:t>
            </w:r>
            <w:proofErr w:type="gramEnd"/>
            <w:r w:rsidRPr="00E91000">
              <w:rPr>
                <w:rFonts w:ascii="Arial" w:eastAsia="Times New Roman" w:hAnsi="Arial" w:cs="Arial"/>
                <w:b/>
                <w:bCs/>
                <w:color w:val="404040"/>
                <w:sz w:val="14"/>
                <w:szCs w:val="14"/>
                <w:lang w:val="pt-PT" w:eastAsia="pl-PL"/>
              </w:rPr>
              <w:t xml:space="preserve"> indicação em contrário</w:t>
            </w:r>
          </w:p>
        </w:tc>
        <w:tc>
          <w:tcPr>
            <w:tcW w:w="1740" w:type="dxa"/>
            <w:tcBorders>
              <w:top w:val="nil"/>
              <w:left w:val="nil"/>
              <w:bottom w:val="nil"/>
              <w:right w:val="nil"/>
            </w:tcBorders>
            <w:shd w:val="clear" w:color="auto" w:fill="FFCB04"/>
            <w:vAlign w:val="center"/>
          </w:tcPr>
          <w:p w14:paraId="2AC74720" w14:textId="77777777" w:rsidR="00883309" w:rsidRPr="00781F53" w:rsidRDefault="00883309" w:rsidP="00781F53">
            <w:pPr>
              <w:widowControl/>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12M 2021</w:t>
            </w:r>
          </w:p>
        </w:tc>
        <w:tc>
          <w:tcPr>
            <w:tcW w:w="1680" w:type="dxa"/>
            <w:tcBorders>
              <w:top w:val="nil"/>
              <w:left w:val="nil"/>
              <w:bottom w:val="nil"/>
              <w:right w:val="nil"/>
            </w:tcBorders>
            <w:shd w:val="clear" w:color="auto" w:fill="FFCB04"/>
            <w:vAlign w:val="center"/>
          </w:tcPr>
          <w:p w14:paraId="3A006D51" w14:textId="77777777" w:rsidR="00883309" w:rsidRPr="00781F53" w:rsidRDefault="00883309" w:rsidP="00781F53">
            <w:pPr>
              <w:widowControl/>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12M 2020</w:t>
            </w:r>
          </w:p>
        </w:tc>
      </w:tr>
      <w:tr w:rsidR="001F1D27" w:rsidRPr="00781F53" w14:paraId="0E695AD1" w14:textId="77777777" w:rsidTr="4A94AE94">
        <w:trPr>
          <w:trHeight w:val="138"/>
        </w:trPr>
        <w:tc>
          <w:tcPr>
            <w:tcW w:w="5080" w:type="dxa"/>
            <w:tcBorders>
              <w:top w:val="nil"/>
              <w:left w:val="nil"/>
              <w:bottom w:val="nil"/>
              <w:right w:val="nil"/>
            </w:tcBorders>
            <w:shd w:val="clear" w:color="auto" w:fill="D9D9D9" w:themeFill="background1" w:themeFillShade="D9"/>
          </w:tcPr>
          <w:p w14:paraId="41AA2D61" w14:textId="684C03E6" w:rsidR="001F1D27" w:rsidRPr="00781F53" w:rsidRDefault="001F1D27" w:rsidP="00781F53">
            <w:pPr>
              <w:spacing w:line="276" w:lineRule="auto"/>
              <w:rPr>
                <w:rFonts w:ascii="Arial" w:hAnsi="Arial" w:cs="Arial"/>
                <w:b/>
                <w:bCs/>
                <w:color w:val="404040" w:themeColor="text1" w:themeTint="BF"/>
                <w:sz w:val="16"/>
                <w:szCs w:val="16"/>
                <w:lang w:val="pt-PT" w:eastAsia="pl-PL"/>
              </w:rPr>
            </w:pPr>
            <w:bookmarkStart w:id="0" w:name="_Hlk99450399"/>
            <w:proofErr w:type="spellStart"/>
            <w:r w:rsidRPr="00781F53">
              <w:rPr>
                <w:rFonts w:ascii="Arial" w:eastAsia="Times New Roman" w:hAnsi="Arial" w:cs="Arial"/>
                <w:b/>
                <w:bCs/>
                <w:color w:val="404040" w:themeColor="text1" w:themeTint="BF"/>
                <w:sz w:val="16"/>
                <w:szCs w:val="16"/>
                <w:lang w:val="pt-PT" w:eastAsia="pl-PL"/>
              </w:rPr>
              <w:t>Non-current</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D9D9D9" w:themeFill="background1" w:themeFillShade="D9"/>
            <w:vAlign w:val="center"/>
          </w:tcPr>
          <w:p w14:paraId="389BC166" w14:textId="031819EB" w:rsidR="001F1D27" w:rsidRPr="00781F53" w:rsidRDefault="3BB16C69"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5,831.0</w:t>
            </w:r>
          </w:p>
        </w:tc>
        <w:tc>
          <w:tcPr>
            <w:tcW w:w="1680" w:type="dxa"/>
            <w:tcBorders>
              <w:top w:val="nil"/>
              <w:left w:val="nil"/>
              <w:bottom w:val="nil"/>
              <w:right w:val="nil"/>
            </w:tcBorders>
            <w:shd w:val="clear" w:color="auto" w:fill="D9D9D9" w:themeFill="background1" w:themeFillShade="D9"/>
            <w:vAlign w:val="center"/>
          </w:tcPr>
          <w:p w14:paraId="4A5733C1" w14:textId="2C443BB8" w:rsidR="001F1D27" w:rsidRPr="00781F53" w:rsidRDefault="3BB16C69"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  1,825.5</w:t>
            </w:r>
          </w:p>
        </w:tc>
      </w:tr>
      <w:tr w:rsidR="00B76702" w:rsidRPr="00781F53" w14:paraId="0503B0E9" w14:textId="77777777" w:rsidTr="4A94AE94">
        <w:trPr>
          <w:trHeight w:val="113"/>
        </w:trPr>
        <w:tc>
          <w:tcPr>
            <w:tcW w:w="5080" w:type="dxa"/>
            <w:tcBorders>
              <w:top w:val="nil"/>
              <w:left w:val="nil"/>
              <w:bottom w:val="nil"/>
              <w:right w:val="nil"/>
            </w:tcBorders>
            <w:shd w:val="clear" w:color="auto" w:fill="FFFFFF" w:themeFill="background1"/>
          </w:tcPr>
          <w:p w14:paraId="7ACDC662" w14:textId="45E63AED"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Goodwill</w:t>
            </w:r>
            <w:proofErr w:type="spellEnd"/>
          </w:p>
        </w:tc>
        <w:tc>
          <w:tcPr>
            <w:tcW w:w="1740" w:type="dxa"/>
            <w:tcBorders>
              <w:top w:val="nil"/>
              <w:left w:val="nil"/>
              <w:bottom w:val="nil"/>
              <w:right w:val="nil"/>
            </w:tcBorders>
            <w:shd w:val="clear" w:color="auto" w:fill="FFFFFF" w:themeFill="background1"/>
          </w:tcPr>
          <w:p w14:paraId="4340A23A" w14:textId="6125BAFF"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1,434.3</w:t>
            </w:r>
          </w:p>
        </w:tc>
        <w:tc>
          <w:tcPr>
            <w:tcW w:w="1680" w:type="dxa"/>
            <w:tcBorders>
              <w:top w:val="nil"/>
              <w:left w:val="nil"/>
              <w:bottom w:val="nil"/>
              <w:right w:val="nil"/>
            </w:tcBorders>
            <w:shd w:val="clear" w:color="auto" w:fill="FFFFFF" w:themeFill="background1"/>
          </w:tcPr>
          <w:p w14:paraId="219C5208" w14:textId="5F509B1C"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w:t>
            </w:r>
          </w:p>
        </w:tc>
      </w:tr>
      <w:tr w:rsidR="00B76702" w:rsidRPr="00781F53" w14:paraId="4FF4A04A" w14:textId="77777777" w:rsidTr="4A94AE94">
        <w:trPr>
          <w:trHeight w:val="103"/>
        </w:trPr>
        <w:tc>
          <w:tcPr>
            <w:tcW w:w="5080" w:type="dxa"/>
            <w:tcBorders>
              <w:top w:val="nil"/>
              <w:left w:val="nil"/>
              <w:bottom w:val="nil"/>
              <w:right w:val="nil"/>
            </w:tcBorders>
            <w:shd w:val="clear" w:color="auto" w:fill="FFFFFF" w:themeFill="background1"/>
          </w:tcPr>
          <w:p w14:paraId="79A6905D" w14:textId="4809B42C"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Intangible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05FD490F" w14:textId="4A6DEA8B"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1,036.6</w:t>
            </w:r>
          </w:p>
        </w:tc>
        <w:tc>
          <w:tcPr>
            <w:tcW w:w="1680" w:type="dxa"/>
            <w:tcBorders>
              <w:top w:val="nil"/>
              <w:left w:val="nil"/>
              <w:bottom w:val="nil"/>
              <w:right w:val="nil"/>
            </w:tcBorders>
            <w:shd w:val="clear" w:color="auto" w:fill="FFFFFF" w:themeFill="background1"/>
          </w:tcPr>
          <w:p w14:paraId="60E86EEF" w14:textId="3DABD53E"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1,41.5</w:t>
            </w:r>
          </w:p>
        </w:tc>
      </w:tr>
      <w:tr w:rsidR="00B76702" w:rsidRPr="00781F53" w14:paraId="0CCBAAA5" w14:textId="77777777" w:rsidTr="4A94AE94">
        <w:trPr>
          <w:trHeight w:val="221"/>
        </w:trPr>
        <w:tc>
          <w:tcPr>
            <w:tcW w:w="5080" w:type="dxa"/>
            <w:tcBorders>
              <w:top w:val="nil"/>
              <w:left w:val="nil"/>
              <w:bottom w:val="nil"/>
              <w:right w:val="nil"/>
            </w:tcBorders>
            <w:shd w:val="clear" w:color="auto" w:fill="FFFFFF" w:themeFill="background1"/>
          </w:tcPr>
          <w:p w14:paraId="76B60C13" w14:textId="5A93052B"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Property</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plant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equipment</w:t>
            </w:r>
            <w:proofErr w:type="spellEnd"/>
          </w:p>
        </w:tc>
        <w:tc>
          <w:tcPr>
            <w:tcW w:w="1740" w:type="dxa"/>
            <w:tcBorders>
              <w:top w:val="nil"/>
              <w:left w:val="nil"/>
              <w:bottom w:val="nil"/>
              <w:right w:val="nil"/>
            </w:tcBorders>
            <w:shd w:val="clear" w:color="auto" w:fill="FFFFFF" w:themeFill="background1"/>
          </w:tcPr>
          <w:p w14:paraId="40FA22E6" w14:textId="5C833B2D"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3,110.0</w:t>
            </w:r>
          </w:p>
        </w:tc>
        <w:tc>
          <w:tcPr>
            <w:tcW w:w="1680" w:type="dxa"/>
            <w:tcBorders>
              <w:top w:val="nil"/>
              <w:left w:val="nil"/>
              <w:bottom w:val="nil"/>
              <w:right w:val="nil"/>
            </w:tcBorders>
            <w:shd w:val="clear" w:color="auto" w:fill="FFFFFF" w:themeFill="background1"/>
          </w:tcPr>
          <w:p w14:paraId="57199DE8" w14:textId="4DE914DB"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1,565.1</w:t>
            </w:r>
          </w:p>
        </w:tc>
      </w:tr>
      <w:tr w:rsidR="00B76702" w:rsidRPr="00781F53" w14:paraId="15BCC25A" w14:textId="77777777" w:rsidTr="4A94AE94">
        <w:trPr>
          <w:trHeight w:val="153"/>
        </w:trPr>
        <w:tc>
          <w:tcPr>
            <w:tcW w:w="5080" w:type="dxa"/>
            <w:tcBorders>
              <w:top w:val="nil"/>
              <w:left w:val="nil"/>
              <w:bottom w:val="nil"/>
              <w:right w:val="nil"/>
            </w:tcBorders>
            <w:shd w:val="clear" w:color="auto" w:fill="FFFFFF" w:themeFill="background1"/>
          </w:tcPr>
          <w:p w14:paraId="7C5E3BDA" w14:textId="30C1B3C8"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receivables</w:t>
            </w:r>
            <w:proofErr w:type="spellEnd"/>
          </w:p>
        </w:tc>
        <w:tc>
          <w:tcPr>
            <w:tcW w:w="1740" w:type="dxa"/>
            <w:tcBorders>
              <w:top w:val="nil"/>
              <w:left w:val="nil"/>
              <w:bottom w:val="nil"/>
              <w:right w:val="nil"/>
            </w:tcBorders>
            <w:shd w:val="clear" w:color="auto" w:fill="FFFFFF" w:themeFill="background1"/>
          </w:tcPr>
          <w:p w14:paraId="462B1813" w14:textId="3867AF43"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31.4</w:t>
            </w:r>
          </w:p>
        </w:tc>
        <w:tc>
          <w:tcPr>
            <w:tcW w:w="1680" w:type="dxa"/>
            <w:tcBorders>
              <w:top w:val="nil"/>
              <w:left w:val="nil"/>
              <w:bottom w:val="nil"/>
              <w:right w:val="nil"/>
            </w:tcBorders>
            <w:shd w:val="clear" w:color="auto" w:fill="FFFFFF" w:themeFill="background1"/>
          </w:tcPr>
          <w:p w14:paraId="7E4770BB" w14:textId="04AD59B4"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6.0</w:t>
            </w:r>
          </w:p>
        </w:tc>
      </w:tr>
      <w:tr w:rsidR="00B76702" w:rsidRPr="00781F53" w14:paraId="298ED7D3" w14:textId="77777777" w:rsidTr="4A94AE94">
        <w:trPr>
          <w:trHeight w:val="201"/>
        </w:trPr>
        <w:tc>
          <w:tcPr>
            <w:tcW w:w="5080" w:type="dxa"/>
            <w:tcBorders>
              <w:top w:val="nil"/>
              <w:left w:val="nil"/>
              <w:bottom w:val="nil"/>
              <w:right w:val="nil"/>
            </w:tcBorders>
            <w:shd w:val="clear" w:color="auto" w:fill="FFFFFF" w:themeFill="background1"/>
          </w:tcPr>
          <w:p w14:paraId="0578B976" w14:textId="2B1C6E8D"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Deferred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036F9147" w14:textId="70A09434"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157.8</w:t>
            </w:r>
          </w:p>
        </w:tc>
        <w:tc>
          <w:tcPr>
            <w:tcW w:w="1680" w:type="dxa"/>
            <w:tcBorders>
              <w:top w:val="nil"/>
              <w:left w:val="nil"/>
              <w:bottom w:val="nil"/>
              <w:right w:val="nil"/>
            </w:tcBorders>
            <w:shd w:val="clear" w:color="auto" w:fill="FFFFFF" w:themeFill="background1"/>
          </w:tcPr>
          <w:p w14:paraId="6A25071D" w14:textId="455ABA86"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112.1</w:t>
            </w:r>
          </w:p>
        </w:tc>
      </w:tr>
      <w:tr w:rsidR="00B76702" w:rsidRPr="00781F53" w14:paraId="7BD78353" w14:textId="77777777" w:rsidTr="4A94AE94">
        <w:trPr>
          <w:trHeight w:val="80"/>
        </w:trPr>
        <w:tc>
          <w:tcPr>
            <w:tcW w:w="5080" w:type="dxa"/>
            <w:tcBorders>
              <w:top w:val="nil"/>
              <w:left w:val="nil"/>
              <w:bottom w:val="nil"/>
              <w:right w:val="nil"/>
            </w:tcBorders>
            <w:shd w:val="clear" w:color="auto" w:fill="FFFFFF" w:themeFill="background1"/>
          </w:tcPr>
          <w:p w14:paraId="67FA8FE5" w14:textId="68E4537C"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126F20A8" w14:textId="759886F3"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60.9</w:t>
            </w:r>
          </w:p>
        </w:tc>
        <w:tc>
          <w:tcPr>
            <w:tcW w:w="1680" w:type="dxa"/>
            <w:tcBorders>
              <w:top w:val="nil"/>
              <w:left w:val="nil"/>
              <w:bottom w:val="nil"/>
              <w:right w:val="nil"/>
            </w:tcBorders>
            <w:shd w:val="clear" w:color="auto" w:fill="FFFFFF" w:themeFill="background1"/>
          </w:tcPr>
          <w:p w14:paraId="4C44860D" w14:textId="1519BB30"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0.8</w:t>
            </w:r>
          </w:p>
        </w:tc>
      </w:tr>
      <w:tr w:rsidR="00B76702" w:rsidRPr="00781F53" w14:paraId="1796F9B5" w14:textId="77777777" w:rsidTr="4A94AE94">
        <w:trPr>
          <w:trHeight w:val="178"/>
        </w:trPr>
        <w:tc>
          <w:tcPr>
            <w:tcW w:w="5080" w:type="dxa"/>
            <w:tcBorders>
              <w:top w:val="nil"/>
              <w:left w:val="nil"/>
              <w:bottom w:val="nil"/>
              <w:right w:val="nil"/>
            </w:tcBorders>
            <w:shd w:val="clear" w:color="auto" w:fill="D9D9D9" w:themeFill="background1" w:themeFillShade="D9"/>
            <w:vAlign w:val="center"/>
          </w:tcPr>
          <w:p w14:paraId="099B9D97" w14:textId="23128376" w:rsidR="00B76702" w:rsidRPr="00781F53" w:rsidRDefault="00B76702" w:rsidP="00781F53">
            <w:pPr>
              <w:spacing w:line="276" w:lineRule="auto"/>
              <w:rPr>
                <w:rFonts w:ascii="Arial"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Current</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D9D9D9" w:themeFill="background1" w:themeFillShade="D9"/>
          </w:tcPr>
          <w:p w14:paraId="31F957CA" w14:textId="5FCAFFC2" w:rsidR="00B76702" w:rsidRPr="00781F53" w:rsidRDefault="20D67D04"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  1,461.9</w:t>
            </w:r>
          </w:p>
        </w:tc>
        <w:tc>
          <w:tcPr>
            <w:tcW w:w="1680" w:type="dxa"/>
            <w:tcBorders>
              <w:top w:val="nil"/>
              <w:left w:val="nil"/>
              <w:bottom w:val="nil"/>
              <w:right w:val="nil"/>
            </w:tcBorders>
            <w:shd w:val="clear" w:color="auto" w:fill="D9D9D9" w:themeFill="background1" w:themeFillShade="D9"/>
          </w:tcPr>
          <w:p w14:paraId="45A9A11F" w14:textId="2BD4A705" w:rsidR="00B76702" w:rsidRPr="00781F53" w:rsidRDefault="20D67D04"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  655.3</w:t>
            </w:r>
          </w:p>
        </w:tc>
      </w:tr>
      <w:tr w:rsidR="00B76702" w:rsidRPr="00781F53" w14:paraId="68256730" w14:textId="77777777" w:rsidTr="4A94AE94">
        <w:trPr>
          <w:trHeight w:val="127"/>
        </w:trPr>
        <w:tc>
          <w:tcPr>
            <w:tcW w:w="5080" w:type="dxa"/>
            <w:tcBorders>
              <w:top w:val="nil"/>
              <w:left w:val="nil"/>
              <w:bottom w:val="nil"/>
              <w:right w:val="nil"/>
            </w:tcBorders>
            <w:shd w:val="clear" w:color="auto" w:fill="FFFFFF" w:themeFill="background1"/>
          </w:tcPr>
          <w:p w14:paraId="7C2A1411" w14:textId="048D3713"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Inventory</w:t>
            </w:r>
            <w:proofErr w:type="spellEnd"/>
          </w:p>
        </w:tc>
        <w:tc>
          <w:tcPr>
            <w:tcW w:w="1740" w:type="dxa"/>
            <w:tcBorders>
              <w:top w:val="nil"/>
              <w:left w:val="nil"/>
              <w:bottom w:val="nil"/>
              <w:right w:val="nil"/>
            </w:tcBorders>
            <w:shd w:val="clear" w:color="auto" w:fill="FFFFFF" w:themeFill="background1"/>
          </w:tcPr>
          <w:p w14:paraId="7550C1D7" w14:textId="4B6A7760"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10.9</w:t>
            </w:r>
          </w:p>
        </w:tc>
        <w:tc>
          <w:tcPr>
            <w:tcW w:w="1680" w:type="dxa"/>
            <w:tcBorders>
              <w:top w:val="nil"/>
              <w:left w:val="nil"/>
              <w:bottom w:val="nil"/>
              <w:right w:val="nil"/>
            </w:tcBorders>
            <w:shd w:val="clear" w:color="auto" w:fill="FFFFFF" w:themeFill="background1"/>
          </w:tcPr>
          <w:p w14:paraId="36294413" w14:textId="639DA59A"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5.7</w:t>
            </w:r>
          </w:p>
        </w:tc>
      </w:tr>
      <w:tr w:rsidR="00B76702" w:rsidRPr="00781F53" w14:paraId="4D69085F" w14:textId="77777777" w:rsidTr="4A94AE94">
        <w:trPr>
          <w:trHeight w:val="127"/>
        </w:trPr>
        <w:tc>
          <w:tcPr>
            <w:tcW w:w="5080" w:type="dxa"/>
            <w:tcBorders>
              <w:top w:val="nil"/>
              <w:left w:val="nil"/>
              <w:bottom w:val="nil"/>
              <w:right w:val="nil"/>
            </w:tcBorders>
            <w:shd w:val="clear" w:color="auto" w:fill="FFFFFF" w:themeFill="background1"/>
          </w:tcPr>
          <w:p w14:paraId="640EFE60" w14:textId="38867CBD"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Trade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receivables</w:t>
            </w:r>
            <w:proofErr w:type="spellEnd"/>
          </w:p>
        </w:tc>
        <w:tc>
          <w:tcPr>
            <w:tcW w:w="1740" w:type="dxa"/>
            <w:tcBorders>
              <w:top w:val="nil"/>
              <w:left w:val="nil"/>
              <w:bottom w:val="nil"/>
              <w:right w:val="nil"/>
            </w:tcBorders>
            <w:shd w:val="clear" w:color="auto" w:fill="FFFFFF" w:themeFill="background1"/>
          </w:tcPr>
          <w:p w14:paraId="2E418902" w14:textId="58BE539F"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927.1</w:t>
            </w:r>
          </w:p>
        </w:tc>
        <w:tc>
          <w:tcPr>
            <w:tcW w:w="1680" w:type="dxa"/>
            <w:tcBorders>
              <w:top w:val="nil"/>
              <w:left w:val="nil"/>
              <w:bottom w:val="nil"/>
              <w:right w:val="nil"/>
            </w:tcBorders>
            <w:shd w:val="clear" w:color="auto" w:fill="FFFFFF" w:themeFill="background1"/>
          </w:tcPr>
          <w:p w14:paraId="2331ED4B" w14:textId="7C91FEC0"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434.7</w:t>
            </w:r>
          </w:p>
        </w:tc>
      </w:tr>
      <w:tr w:rsidR="00B76702" w:rsidRPr="00781F53" w14:paraId="47609B45" w14:textId="77777777" w:rsidTr="4A94AE94">
        <w:trPr>
          <w:trHeight w:val="127"/>
        </w:trPr>
        <w:tc>
          <w:tcPr>
            <w:tcW w:w="5080" w:type="dxa"/>
            <w:tcBorders>
              <w:top w:val="nil"/>
              <w:left w:val="nil"/>
              <w:bottom w:val="nil"/>
              <w:right w:val="nil"/>
            </w:tcBorders>
            <w:shd w:val="clear" w:color="auto" w:fill="FFFFFF" w:themeFill="background1"/>
          </w:tcPr>
          <w:p w14:paraId="15A19B77" w14:textId="1A6C3847"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Income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w:t>
            </w:r>
            <w:proofErr w:type="spellEnd"/>
          </w:p>
        </w:tc>
        <w:tc>
          <w:tcPr>
            <w:tcW w:w="1740" w:type="dxa"/>
            <w:tcBorders>
              <w:top w:val="nil"/>
              <w:left w:val="nil"/>
              <w:bottom w:val="nil"/>
              <w:right w:val="nil"/>
            </w:tcBorders>
            <w:shd w:val="clear" w:color="auto" w:fill="FFFFFF" w:themeFill="background1"/>
          </w:tcPr>
          <w:p w14:paraId="73D5DA40" w14:textId="780DDF44"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3.7</w:t>
            </w:r>
          </w:p>
        </w:tc>
        <w:tc>
          <w:tcPr>
            <w:tcW w:w="1680" w:type="dxa"/>
            <w:tcBorders>
              <w:top w:val="nil"/>
              <w:left w:val="nil"/>
              <w:bottom w:val="nil"/>
              <w:right w:val="nil"/>
            </w:tcBorders>
            <w:shd w:val="clear" w:color="auto" w:fill="FFFFFF" w:themeFill="background1"/>
          </w:tcPr>
          <w:p w14:paraId="6E22C807" w14:textId="7F976FC7"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0.3</w:t>
            </w:r>
          </w:p>
        </w:tc>
      </w:tr>
      <w:tr w:rsidR="00B76702" w:rsidRPr="00781F53" w14:paraId="77CCCDE4" w14:textId="77777777" w:rsidTr="4A94AE94">
        <w:trPr>
          <w:trHeight w:val="127"/>
        </w:trPr>
        <w:tc>
          <w:tcPr>
            <w:tcW w:w="5080" w:type="dxa"/>
            <w:tcBorders>
              <w:top w:val="nil"/>
              <w:left w:val="nil"/>
              <w:bottom w:val="nil"/>
              <w:right w:val="nil"/>
            </w:tcBorders>
            <w:shd w:val="clear" w:color="auto" w:fill="FFFFFF" w:themeFill="background1"/>
          </w:tcPr>
          <w:p w14:paraId="06D02C8F" w14:textId="44B7B88F"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7B4A2357" w14:textId="0AFD20C4"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27.0</w:t>
            </w:r>
          </w:p>
        </w:tc>
        <w:tc>
          <w:tcPr>
            <w:tcW w:w="1680" w:type="dxa"/>
            <w:tcBorders>
              <w:top w:val="nil"/>
              <w:left w:val="nil"/>
              <w:bottom w:val="nil"/>
              <w:right w:val="nil"/>
            </w:tcBorders>
            <w:shd w:val="clear" w:color="auto" w:fill="FFFFFF" w:themeFill="background1"/>
          </w:tcPr>
          <w:p w14:paraId="663AC60D" w14:textId="68E50A3B"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70.4</w:t>
            </w:r>
          </w:p>
        </w:tc>
      </w:tr>
      <w:tr w:rsidR="00B76702" w:rsidRPr="00781F53" w14:paraId="61BB8DE6" w14:textId="77777777" w:rsidTr="4A94AE94">
        <w:trPr>
          <w:trHeight w:val="86"/>
        </w:trPr>
        <w:tc>
          <w:tcPr>
            <w:tcW w:w="5080" w:type="dxa"/>
            <w:tcBorders>
              <w:top w:val="nil"/>
              <w:left w:val="nil"/>
              <w:bottom w:val="nil"/>
              <w:right w:val="nil"/>
            </w:tcBorders>
            <w:shd w:val="clear" w:color="auto" w:fill="FFFFFF" w:themeFill="background1"/>
          </w:tcPr>
          <w:p w14:paraId="7DF497EA" w14:textId="6E09657D" w:rsidR="00B76702" w:rsidRPr="00781F53" w:rsidRDefault="00B76702"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Cash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cash </w:t>
            </w:r>
            <w:proofErr w:type="spellStart"/>
            <w:r w:rsidRPr="00781F53">
              <w:rPr>
                <w:rFonts w:ascii="Arial" w:eastAsia="Times New Roman" w:hAnsi="Arial" w:cs="Arial"/>
                <w:color w:val="404040" w:themeColor="text1" w:themeTint="BF"/>
                <w:sz w:val="16"/>
                <w:szCs w:val="16"/>
                <w:lang w:val="pt-PT" w:eastAsia="pl-PL"/>
              </w:rPr>
              <w:t>equivalents</w:t>
            </w:r>
            <w:proofErr w:type="spellEnd"/>
            <w:r w:rsidRPr="00781F53">
              <w:rPr>
                <w:rFonts w:ascii="Arial" w:eastAsia="Times New Roman" w:hAnsi="Arial" w:cs="Arial"/>
                <w:color w:val="404040" w:themeColor="text1" w:themeTint="BF"/>
                <w:sz w:val="16"/>
                <w:szCs w:val="16"/>
                <w:lang w:val="pt-PT" w:eastAsia="pl-PL"/>
              </w:rPr>
              <w:t xml:space="preserve"> </w:t>
            </w:r>
          </w:p>
        </w:tc>
        <w:tc>
          <w:tcPr>
            <w:tcW w:w="1740" w:type="dxa"/>
            <w:tcBorders>
              <w:top w:val="nil"/>
              <w:left w:val="nil"/>
              <w:bottom w:val="nil"/>
              <w:right w:val="nil"/>
            </w:tcBorders>
            <w:shd w:val="clear" w:color="auto" w:fill="FFFFFF" w:themeFill="background1"/>
          </w:tcPr>
          <w:p w14:paraId="2B74F966" w14:textId="3FCB8F1E"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493.2</w:t>
            </w:r>
          </w:p>
        </w:tc>
        <w:tc>
          <w:tcPr>
            <w:tcW w:w="1680" w:type="dxa"/>
            <w:tcBorders>
              <w:top w:val="nil"/>
              <w:left w:val="nil"/>
              <w:bottom w:val="nil"/>
              <w:right w:val="nil"/>
            </w:tcBorders>
            <w:shd w:val="clear" w:color="auto" w:fill="FFFFFF" w:themeFill="background1"/>
          </w:tcPr>
          <w:p w14:paraId="41908E9A" w14:textId="379AC06F" w:rsidR="00B76702" w:rsidRPr="00781F53" w:rsidRDefault="20D67D04" w:rsidP="00781F53">
            <w:pPr>
              <w:spacing w:line="276" w:lineRule="auto"/>
              <w:jc w:val="center"/>
              <w:rPr>
                <w:rFonts w:ascii="Arial" w:hAnsi="Arial" w:cs="Arial"/>
                <w:color w:val="404040" w:themeColor="text1" w:themeTint="BF"/>
                <w:sz w:val="16"/>
                <w:szCs w:val="16"/>
                <w:lang w:val="pt-PT" w:eastAsia="pl-PL"/>
              </w:rPr>
            </w:pPr>
            <w:r w:rsidRPr="00781F53">
              <w:rPr>
                <w:rFonts w:ascii="Arial" w:hAnsi="Arial" w:cs="Arial"/>
                <w:color w:val="404040" w:themeColor="text1" w:themeTint="BF"/>
                <w:sz w:val="16"/>
                <w:szCs w:val="16"/>
                <w:lang w:val="pt-PT" w:eastAsia="pl-PL"/>
              </w:rPr>
              <w:t xml:space="preserve">  144.2</w:t>
            </w:r>
          </w:p>
        </w:tc>
      </w:tr>
      <w:tr w:rsidR="00B76702" w:rsidRPr="00781F53" w14:paraId="10E2579D" w14:textId="77777777" w:rsidTr="4A94AE94">
        <w:trPr>
          <w:trHeight w:val="175"/>
        </w:trPr>
        <w:tc>
          <w:tcPr>
            <w:tcW w:w="5080" w:type="dxa"/>
            <w:tcBorders>
              <w:top w:val="nil"/>
              <w:left w:val="nil"/>
              <w:bottom w:val="nil"/>
              <w:right w:val="nil"/>
            </w:tcBorders>
            <w:shd w:val="clear" w:color="auto" w:fill="FFC000" w:themeFill="accent4"/>
            <w:vAlign w:val="center"/>
          </w:tcPr>
          <w:p w14:paraId="733F963B" w14:textId="35498C54" w:rsidR="00B76702" w:rsidRPr="00781F53" w:rsidRDefault="20D67D04" w:rsidP="00781F53">
            <w:pPr>
              <w:spacing w:line="276" w:lineRule="auto"/>
              <w:rPr>
                <w:rFonts w:ascii="Arial"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TOTAL ASSETS</w:t>
            </w:r>
          </w:p>
        </w:tc>
        <w:tc>
          <w:tcPr>
            <w:tcW w:w="1740" w:type="dxa"/>
            <w:tcBorders>
              <w:top w:val="nil"/>
              <w:left w:val="nil"/>
              <w:bottom w:val="nil"/>
              <w:right w:val="nil"/>
            </w:tcBorders>
            <w:shd w:val="clear" w:color="auto" w:fill="FFC000" w:themeFill="accent4"/>
          </w:tcPr>
          <w:p w14:paraId="697341ED" w14:textId="44BC167E" w:rsidR="00B76702" w:rsidRPr="00781F53" w:rsidRDefault="73EFBB36"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  7,292.9</w:t>
            </w:r>
          </w:p>
        </w:tc>
        <w:tc>
          <w:tcPr>
            <w:tcW w:w="1680" w:type="dxa"/>
            <w:tcBorders>
              <w:top w:val="nil"/>
              <w:left w:val="nil"/>
              <w:bottom w:val="nil"/>
              <w:right w:val="nil"/>
            </w:tcBorders>
            <w:shd w:val="clear" w:color="auto" w:fill="FFC000" w:themeFill="accent4"/>
          </w:tcPr>
          <w:p w14:paraId="05B521E7" w14:textId="0A524E5E" w:rsidR="00B76702" w:rsidRPr="00781F53" w:rsidRDefault="73EFBB36" w:rsidP="00781F53">
            <w:pPr>
              <w:spacing w:line="276" w:lineRule="auto"/>
              <w:jc w:val="center"/>
              <w:rPr>
                <w:rFonts w:ascii="Arial" w:hAnsi="Arial" w:cs="Arial"/>
                <w:b/>
                <w:bCs/>
                <w:color w:val="404040" w:themeColor="text1" w:themeTint="BF"/>
                <w:sz w:val="16"/>
                <w:szCs w:val="16"/>
                <w:lang w:val="pt-PT" w:eastAsia="pl-PL"/>
              </w:rPr>
            </w:pPr>
            <w:r w:rsidRPr="00781F53">
              <w:rPr>
                <w:rFonts w:ascii="Arial" w:hAnsi="Arial" w:cs="Arial"/>
                <w:b/>
                <w:bCs/>
                <w:color w:val="404040" w:themeColor="text1" w:themeTint="BF"/>
                <w:sz w:val="16"/>
                <w:szCs w:val="16"/>
                <w:lang w:val="pt-PT" w:eastAsia="pl-PL"/>
              </w:rPr>
              <w:t xml:space="preserve">  2,480.8</w:t>
            </w:r>
          </w:p>
        </w:tc>
      </w:tr>
      <w:bookmarkEnd w:id="0"/>
      <w:tr w:rsidR="00883309" w:rsidRPr="00781F53" w14:paraId="1D086C8B" w14:textId="77777777" w:rsidTr="4A94AE94">
        <w:trPr>
          <w:trHeight w:val="121"/>
        </w:trPr>
        <w:tc>
          <w:tcPr>
            <w:tcW w:w="5080" w:type="dxa"/>
            <w:tcBorders>
              <w:top w:val="nil"/>
              <w:left w:val="nil"/>
              <w:bottom w:val="nil"/>
              <w:right w:val="nil"/>
            </w:tcBorders>
            <w:shd w:val="clear" w:color="auto" w:fill="FFFFFF" w:themeFill="background1"/>
            <w:vAlign w:val="center"/>
          </w:tcPr>
          <w:p w14:paraId="5647DA75" w14:textId="0A4EF2C2" w:rsidR="00C66C90" w:rsidRPr="00781F53" w:rsidRDefault="00C66C90" w:rsidP="00781F53">
            <w:pPr>
              <w:spacing w:line="276" w:lineRule="auto"/>
              <w:rPr>
                <w:rFonts w:ascii="Arial" w:eastAsia="Times New Roman" w:hAnsi="Arial" w:cs="Arial"/>
                <w:color w:val="404040" w:themeColor="text1" w:themeTint="BF"/>
                <w:sz w:val="16"/>
                <w:szCs w:val="16"/>
                <w:lang w:val="pt-PT" w:eastAsia="pl-PL"/>
              </w:rPr>
            </w:pPr>
          </w:p>
        </w:tc>
        <w:tc>
          <w:tcPr>
            <w:tcW w:w="1740" w:type="dxa"/>
            <w:tcBorders>
              <w:top w:val="nil"/>
              <w:left w:val="nil"/>
              <w:bottom w:val="nil"/>
              <w:right w:val="nil"/>
            </w:tcBorders>
            <w:shd w:val="clear" w:color="auto" w:fill="FFFFFF" w:themeFill="background1"/>
          </w:tcPr>
          <w:p w14:paraId="1D948BBB" w14:textId="76A86CDA" w:rsidR="00883309" w:rsidRPr="00781F53" w:rsidRDefault="00883309" w:rsidP="00781F53">
            <w:pPr>
              <w:widowControl/>
              <w:spacing w:line="276" w:lineRule="auto"/>
              <w:jc w:val="center"/>
              <w:rPr>
                <w:rFonts w:ascii="Arial" w:eastAsia="Times New Roman" w:hAnsi="Arial" w:cs="Arial"/>
                <w:color w:val="404040" w:themeColor="text1" w:themeTint="BF"/>
                <w:sz w:val="16"/>
                <w:szCs w:val="16"/>
                <w:lang w:val="pt-PT" w:eastAsia="pl-PL"/>
              </w:rPr>
            </w:pPr>
          </w:p>
        </w:tc>
        <w:tc>
          <w:tcPr>
            <w:tcW w:w="1680" w:type="dxa"/>
            <w:tcBorders>
              <w:top w:val="nil"/>
              <w:left w:val="nil"/>
              <w:bottom w:val="nil"/>
              <w:right w:val="nil"/>
            </w:tcBorders>
            <w:shd w:val="clear" w:color="auto" w:fill="FFFFFF" w:themeFill="background1"/>
          </w:tcPr>
          <w:p w14:paraId="66C13483" w14:textId="12A59DEE" w:rsidR="00883309" w:rsidRPr="00781F53" w:rsidRDefault="00883309" w:rsidP="00781F53">
            <w:pPr>
              <w:widowControl/>
              <w:spacing w:line="276" w:lineRule="auto"/>
              <w:jc w:val="center"/>
              <w:rPr>
                <w:rFonts w:ascii="Arial" w:eastAsia="Times New Roman" w:hAnsi="Arial" w:cs="Arial"/>
                <w:color w:val="404040" w:themeColor="text1" w:themeTint="BF"/>
                <w:sz w:val="16"/>
                <w:szCs w:val="16"/>
                <w:lang w:val="pt-PT" w:eastAsia="pl-PL"/>
              </w:rPr>
            </w:pPr>
          </w:p>
        </w:tc>
      </w:tr>
      <w:tr w:rsidR="001375BA" w:rsidRPr="00781F53" w14:paraId="6EBAE2E5" w14:textId="77777777" w:rsidTr="4A94AE94">
        <w:trPr>
          <w:trHeight w:val="138"/>
        </w:trPr>
        <w:tc>
          <w:tcPr>
            <w:tcW w:w="5080" w:type="dxa"/>
            <w:tcBorders>
              <w:top w:val="nil"/>
              <w:left w:val="nil"/>
              <w:bottom w:val="nil"/>
              <w:right w:val="nil"/>
            </w:tcBorders>
            <w:shd w:val="clear" w:color="auto" w:fill="FFC000" w:themeFill="accent4"/>
          </w:tcPr>
          <w:p w14:paraId="69214C88" w14:textId="554182C5" w:rsidR="001375BA" w:rsidRPr="00781F53" w:rsidRDefault="00AF5B2F" w:rsidP="00781F53">
            <w:pPr>
              <w:widowControl/>
              <w:spacing w:line="276" w:lineRule="auto"/>
              <w:rPr>
                <w:rFonts w:ascii="Arial" w:eastAsia="Times New Roman" w:hAnsi="Arial" w:cs="Arial"/>
                <w:b/>
                <w:bCs/>
                <w:color w:val="404040" w:themeColor="text1" w:themeTint="BF"/>
                <w:sz w:val="16"/>
                <w:szCs w:val="16"/>
                <w:lang w:val="pt-PT" w:eastAsia="pl-PL"/>
              </w:rPr>
            </w:pPr>
            <w:bookmarkStart w:id="1" w:name="_Hlk99450979"/>
            <w:proofErr w:type="spellStart"/>
            <w:r w:rsidRPr="00781F53">
              <w:rPr>
                <w:rFonts w:ascii="Arial" w:eastAsia="Times New Roman" w:hAnsi="Arial" w:cs="Arial"/>
                <w:b/>
                <w:bCs/>
                <w:color w:val="404040" w:themeColor="text1" w:themeTint="BF"/>
                <w:sz w:val="16"/>
                <w:szCs w:val="16"/>
                <w:lang w:val="pt-PT" w:eastAsia="pl-PL"/>
              </w:rPr>
              <w:t>Equity</w:t>
            </w:r>
            <w:proofErr w:type="spellEnd"/>
          </w:p>
        </w:tc>
        <w:tc>
          <w:tcPr>
            <w:tcW w:w="1740" w:type="dxa"/>
            <w:tcBorders>
              <w:top w:val="nil"/>
              <w:left w:val="nil"/>
              <w:bottom w:val="nil"/>
              <w:right w:val="nil"/>
            </w:tcBorders>
            <w:shd w:val="clear" w:color="auto" w:fill="FFC000" w:themeFill="accent4"/>
            <w:vAlign w:val="center"/>
          </w:tcPr>
          <w:p w14:paraId="3D81EA0E" w14:textId="77777777" w:rsidR="001375BA" w:rsidRPr="00781F53" w:rsidRDefault="001375BA" w:rsidP="00781F53">
            <w:pPr>
              <w:spacing w:line="276" w:lineRule="auto"/>
              <w:jc w:val="center"/>
              <w:rPr>
                <w:rFonts w:ascii="Arial" w:eastAsia="Times New Roman" w:hAnsi="Arial" w:cs="Arial"/>
                <w:b/>
                <w:bCs/>
                <w:color w:val="404040" w:themeColor="text1" w:themeTint="BF"/>
                <w:sz w:val="16"/>
                <w:szCs w:val="16"/>
                <w:lang w:val="pt-PT" w:eastAsia="pl-PL"/>
              </w:rPr>
            </w:pPr>
          </w:p>
        </w:tc>
        <w:tc>
          <w:tcPr>
            <w:tcW w:w="1680" w:type="dxa"/>
            <w:tcBorders>
              <w:top w:val="nil"/>
              <w:left w:val="nil"/>
              <w:bottom w:val="nil"/>
              <w:right w:val="nil"/>
            </w:tcBorders>
            <w:shd w:val="clear" w:color="auto" w:fill="FFC000" w:themeFill="accent4"/>
            <w:vAlign w:val="center"/>
          </w:tcPr>
          <w:p w14:paraId="3BFCDD19" w14:textId="77777777" w:rsidR="001375BA" w:rsidRPr="00781F53" w:rsidRDefault="001375BA" w:rsidP="00781F53">
            <w:pPr>
              <w:spacing w:line="276" w:lineRule="auto"/>
              <w:jc w:val="center"/>
              <w:rPr>
                <w:rFonts w:ascii="Arial" w:eastAsia="Times New Roman" w:hAnsi="Arial" w:cs="Arial"/>
                <w:b/>
                <w:bCs/>
                <w:color w:val="404040" w:themeColor="text1" w:themeTint="BF"/>
                <w:sz w:val="16"/>
                <w:szCs w:val="16"/>
                <w:lang w:val="pt-PT" w:eastAsia="pl-PL"/>
              </w:rPr>
            </w:pPr>
          </w:p>
        </w:tc>
      </w:tr>
      <w:tr w:rsidR="00F8613E" w:rsidRPr="00781F53" w14:paraId="4FBE0E0F" w14:textId="77777777" w:rsidTr="4A94AE94">
        <w:trPr>
          <w:trHeight w:val="138"/>
        </w:trPr>
        <w:tc>
          <w:tcPr>
            <w:tcW w:w="5080" w:type="dxa"/>
            <w:tcBorders>
              <w:top w:val="nil"/>
              <w:left w:val="nil"/>
              <w:bottom w:val="nil"/>
              <w:right w:val="nil"/>
            </w:tcBorders>
            <w:shd w:val="clear" w:color="auto" w:fill="D9D9D9" w:themeFill="background1" w:themeFillShade="D9"/>
          </w:tcPr>
          <w:p w14:paraId="129F4ABA" w14:textId="67EC5991" w:rsidR="00F8613E" w:rsidRPr="00781F53" w:rsidRDefault="00F8613E"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Equity</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attributable</w:t>
            </w:r>
            <w:proofErr w:type="spellEnd"/>
            <w:r w:rsidRPr="00781F53">
              <w:rPr>
                <w:rFonts w:ascii="Arial" w:eastAsia="Times New Roman" w:hAnsi="Arial" w:cs="Arial"/>
                <w:b/>
                <w:bCs/>
                <w:color w:val="404040" w:themeColor="text1" w:themeTint="BF"/>
                <w:sz w:val="16"/>
                <w:szCs w:val="16"/>
                <w:lang w:val="pt-PT" w:eastAsia="pl-PL"/>
              </w:rPr>
              <w:t xml:space="preserve"> to </w:t>
            </w:r>
            <w:proofErr w:type="spellStart"/>
            <w:r w:rsidRPr="00781F53">
              <w:rPr>
                <w:rFonts w:ascii="Arial" w:eastAsia="Times New Roman" w:hAnsi="Arial" w:cs="Arial"/>
                <w:b/>
                <w:bCs/>
                <w:color w:val="404040" w:themeColor="text1" w:themeTint="BF"/>
                <w:sz w:val="16"/>
                <w:szCs w:val="16"/>
                <w:lang w:val="pt-PT" w:eastAsia="pl-PL"/>
              </w:rPr>
              <w:t>owners</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of</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InPost</w:t>
            </w:r>
            <w:proofErr w:type="spellEnd"/>
            <w:r w:rsidRPr="00781F53">
              <w:rPr>
                <w:rFonts w:ascii="Arial" w:eastAsia="Times New Roman" w:hAnsi="Arial" w:cs="Arial"/>
                <w:b/>
                <w:bCs/>
                <w:color w:val="404040" w:themeColor="text1" w:themeTint="BF"/>
                <w:sz w:val="16"/>
                <w:szCs w:val="16"/>
                <w:lang w:val="pt-PT" w:eastAsia="pl-PL"/>
              </w:rPr>
              <w:t xml:space="preserve"> </w:t>
            </w:r>
          </w:p>
        </w:tc>
        <w:tc>
          <w:tcPr>
            <w:tcW w:w="1740" w:type="dxa"/>
            <w:tcBorders>
              <w:top w:val="nil"/>
              <w:left w:val="nil"/>
              <w:bottom w:val="nil"/>
              <w:right w:val="nil"/>
            </w:tcBorders>
            <w:shd w:val="clear" w:color="auto" w:fill="D9D9D9" w:themeFill="background1" w:themeFillShade="D9"/>
          </w:tcPr>
          <w:p w14:paraId="04028BD4" w14:textId="5794236C" w:rsidR="00F8613E" w:rsidRPr="00781F53" w:rsidRDefault="1A7FACE0"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(6.9)</w:t>
            </w:r>
          </w:p>
        </w:tc>
        <w:tc>
          <w:tcPr>
            <w:tcW w:w="1680" w:type="dxa"/>
            <w:tcBorders>
              <w:top w:val="nil"/>
              <w:left w:val="nil"/>
              <w:bottom w:val="nil"/>
              <w:right w:val="nil"/>
            </w:tcBorders>
            <w:shd w:val="clear" w:color="auto" w:fill="D9D9D9" w:themeFill="background1" w:themeFillShade="D9"/>
          </w:tcPr>
          <w:p w14:paraId="70BAF7B7" w14:textId="4571FE4D" w:rsidR="00F8613E" w:rsidRPr="00781F53" w:rsidRDefault="1A7FACE0"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638.1</w:t>
            </w:r>
          </w:p>
        </w:tc>
      </w:tr>
      <w:tr w:rsidR="00EE5E88" w:rsidRPr="00781F53" w14:paraId="1A56B594" w14:textId="77777777" w:rsidTr="4A94AE94">
        <w:trPr>
          <w:trHeight w:val="113"/>
        </w:trPr>
        <w:tc>
          <w:tcPr>
            <w:tcW w:w="5080" w:type="dxa"/>
            <w:tcBorders>
              <w:top w:val="nil"/>
              <w:left w:val="nil"/>
              <w:bottom w:val="nil"/>
              <w:right w:val="nil"/>
            </w:tcBorders>
            <w:shd w:val="clear" w:color="auto" w:fill="FFFFFF" w:themeFill="background1"/>
          </w:tcPr>
          <w:p w14:paraId="492E228D" w14:textId="092D48F2"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Share capital</w:t>
            </w:r>
          </w:p>
        </w:tc>
        <w:tc>
          <w:tcPr>
            <w:tcW w:w="1740" w:type="dxa"/>
            <w:tcBorders>
              <w:top w:val="nil"/>
              <w:left w:val="nil"/>
              <w:bottom w:val="nil"/>
              <w:right w:val="nil"/>
            </w:tcBorders>
            <w:shd w:val="clear" w:color="auto" w:fill="FFFFFF" w:themeFill="background1"/>
          </w:tcPr>
          <w:p w14:paraId="09F0518B" w14:textId="1A01E8EA"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22.7</w:t>
            </w:r>
          </w:p>
        </w:tc>
        <w:tc>
          <w:tcPr>
            <w:tcW w:w="1680" w:type="dxa"/>
            <w:tcBorders>
              <w:top w:val="nil"/>
              <w:left w:val="nil"/>
              <w:bottom w:val="nil"/>
              <w:right w:val="nil"/>
            </w:tcBorders>
            <w:shd w:val="clear" w:color="auto" w:fill="FFFFFF" w:themeFill="background1"/>
          </w:tcPr>
          <w:p w14:paraId="6374FE90" w14:textId="565122A9"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0.1</w:t>
            </w:r>
          </w:p>
        </w:tc>
      </w:tr>
      <w:tr w:rsidR="00EE5E88" w:rsidRPr="00781F53" w14:paraId="41E90F8C" w14:textId="77777777" w:rsidTr="4A94AE94">
        <w:trPr>
          <w:trHeight w:val="103"/>
        </w:trPr>
        <w:tc>
          <w:tcPr>
            <w:tcW w:w="5080" w:type="dxa"/>
            <w:tcBorders>
              <w:top w:val="nil"/>
              <w:left w:val="nil"/>
              <w:bottom w:val="nil"/>
              <w:right w:val="nil"/>
            </w:tcBorders>
            <w:shd w:val="clear" w:color="auto" w:fill="FFFFFF" w:themeFill="background1"/>
          </w:tcPr>
          <w:p w14:paraId="0B80AB63" w14:textId="1131D16F"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Share premium </w:t>
            </w:r>
          </w:p>
        </w:tc>
        <w:tc>
          <w:tcPr>
            <w:tcW w:w="1740" w:type="dxa"/>
            <w:tcBorders>
              <w:top w:val="nil"/>
              <w:left w:val="nil"/>
              <w:bottom w:val="nil"/>
              <w:right w:val="nil"/>
            </w:tcBorders>
            <w:shd w:val="clear" w:color="auto" w:fill="FFFFFF" w:themeFill="background1"/>
          </w:tcPr>
          <w:p w14:paraId="623BA66A" w14:textId="01AB9C71"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35,122.4</w:t>
            </w:r>
          </w:p>
        </w:tc>
        <w:tc>
          <w:tcPr>
            <w:tcW w:w="1680" w:type="dxa"/>
            <w:tcBorders>
              <w:top w:val="nil"/>
              <w:left w:val="nil"/>
              <w:bottom w:val="nil"/>
              <w:right w:val="nil"/>
            </w:tcBorders>
            <w:shd w:val="clear" w:color="auto" w:fill="FFFFFF" w:themeFill="background1"/>
          </w:tcPr>
          <w:p w14:paraId="256C2C37" w14:textId="2F9D55DF"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EE5E88" w:rsidRPr="00781F53" w14:paraId="5007072F" w14:textId="77777777" w:rsidTr="4A94AE94">
        <w:trPr>
          <w:trHeight w:val="221"/>
        </w:trPr>
        <w:tc>
          <w:tcPr>
            <w:tcW w:w="5080" w:type="dxa"/>
            <w:tcBorders>
              <w:top w:val="nil"/>
              <w:left w:val="nil"/>
              <w:bottom w:val="nil"/>
              <w:right w:val="nil"/>
            </w:tcBorders>
            <w:shd w:val="clear" w:color="auto" w:fill="FFFFFF" w:themeFill="background1"/>
          </w:tcPr>
          <w:p w14:paraId="25065856" w14:textId="237A6708"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Share capital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share premium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combining</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entities</w:t>
            </w:r>
            <w:proofErr w:type="spellEnd"/>
          </w:p>
        </w:tc>
        <w:tc>
          <w:tcPr>
            <w:tcW w:w="1740" w:type="dxa"/>
            <w:tcBorders>
              <w:top w:val="nil"/>
              <w:left w:val="nil"/>
              <w:bottom w:val="nil"/>
              <w:right w:val="nil"/>
            </w:tcBorders>
            <w:shd w:val="clear" w:color="auto" w:fill="FFFFFF" w:themeFill="background1"/>
          </w:tcPr>
          <w:p w14:paraId="7F7792FC" w14:textId="41F4160B"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c>
          <w:tcPr>
            <w:tcW w:w="1680" w:type="dxa"/>
            <w:tcBorders>
              <w:top w:val="nil"/>
              <w:left w:val="nil"/>
              <w:bottom w:val="nil"/>
              <w:right w:val="nil"/>
            </w:tcBorders>
            <w:shd w:val="clear" w:color="auto" w:fill="FFFFFF" w:themeFill="background1"/>
          </w:tcPr>
          <w:p w14:paraId="294ED325" w14:textId="12CCD5A7"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686.8</w:t>
            </w:r>
          </w:p>
        </w:tc>
      </w:tr>
      <w:tr w:rsidR="00EE5E88" w:rsidRPr="00781F53" w14:paraId="764D1862" w14:textId="77777777" w:rsidTr="4A94AE94">
        <w:trPr>
          <w:trHeight w:val="153"/>
        </w:trPr>
        <w:tc>
          <w:tcPr>
            <w:tcW w:w="5080" w:type="dxa"/>
            <w:tcBorders>
              <w:top w:val="nil"/>
              <w:left w:val="nil"/>
              <w:bottom w:val="nil"/>
              <w:right w:val="nil"/>
            </w:tcBorders>
            <w:shd w:val="clear" w:color="auto" w:fill="FFFFFF" w:themeFill="background1"/>
          </w:tcPr>
          <w:p w14:paraId="38AB809F" w14:textId="78772C1C"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Retained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earnings/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accumulated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losses</w:t>
            </w:r>
            <w:proofErr w:type="spellEnd"/>
            <w:r w:rsidRPr="00781F53">
              <w:rPr>
                <w:rFonts w:ascii="Arial" w:eastAsia="Times New Roman" w:hAnsi="Arial" w:cs="Arial"/>
                <w:color w:val="404040" w:themeColor="text1" w:themeTint="BF"/>
                <w:sz w:val="16"/>
                <w:szCs w:val="16"/>
                <w:lang w:val="pt-PT" w:eastAsia="pl-PL"/>
              </w:rPr>
              <w:t>)</w:t>
            </w:r>
          </w:p>
        </w:tc>
        <w:tc>
          <w:tcPr>
            <w:tcW w:w="1740" w:type="dxa"/>
            <w:tcBorders>
              <w:top w:val="nil"/>
              <w:left w:val="nil"/>
              <w:bottom w:val="nil"/>
              <w:right w:val="nil"/>
            </w:tcBorders>
            <w:shd w:val="clear" w:color="auto" w:fill="FFFFFF" w:themeFill="background1"/>
          </w:tcPr>
          <w:p w14:paraId="267238D8" w14:textId="4BFE8028"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435.6</w:t>
            </w:r>
          </w:p>
        </w:tc>
        <w:tc>
          <w:tcPr>
            <w:tcW w:w="1680" w:type="dxa"/>
            <w:tcBorders>
              <w:top w:val="nil"/>
              <w:left w:val="nil"/>
              <w:bottom w:val="nil"/>
              <w:right w:val="nil"/>
            </w:tcBorders>
            <w:shd w:val="clear" w:color="auto" w:fill="FFFFFF" w:themeFill="background1"/>
          </w:tcPr>
          <w:p w14:paraId="06FB6B39" w14:textId="7879AC25"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(56.0)</w:t>
            </w:r>
          </w:p>
        </w:tc>
      </w:tr>
      <w:tr w:rsidR="00EE5E88" w:rsidRPr="00781F53" w14:paraId="15BE073D" w14:textId="77777777" w:rsidTr="4A94AE94">
        <w:trPr>
          <w:trHeight w:val="201"/>
        </w:trPr>
        <w:tc>
          <w:tcPr>
            <w:tcW w:w="5080" w:type="dxa"/>
            <w:tcBorders>
              <w:top w:val="nil"/>
              <w:left w:val="nil"/>
              <w:bottom w:val="nil"/>
              <w:right w:val="nil"/>
            </w:tcBorders>
            <w:shd w:val="clear" w:color="auto" w:fill="FFFFFF" w:themeFill="background1"/>
          </w:tcPr>
          <w:p w14:paraId="06AD6E07" w14:textId="7224A9F5"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Reserves</w:t>
            </w:r>
          </w:p>
        </w:tc>
        <w:tc>
          <w:tcPr>
            <w:tcW w:w="1740" w:type="dxa"/>
            <w:tcBorders>
              <w:top w:val="nil"/>
              <w:left w:val="nil"/>
              <w:bottom w:val="nil"/>
              <w:right w:val="nil"/>
            </w:tcBorders>
            <w:shd w:val="clear" w:color="auto" w:fill="FFFFFF" w:themeFill="background1"/>
          </w:tcPr>
          <w:p w14:paraId="4662B0EC" w14:textId="223E01A0"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(35,587.6)</w:t>
            </w:r>
          </w:p>
        </w:tc>
        <w:tc>
          <w:tcPr>
            <w:tcW w:w="1680" w:type="dxa"/>
            <w:tcBorders>
              <w:top w:val="nil"/>
              <w:left w:val="nil"/>
              <w:bottom w:val="nil"/>
              <w:right w:val="nil"/>
            </w:tcBorders>
            <w:shd w:val="clear" w:color="auto" w:fill="FFFFFF" w:themeFill="background1"/>
          </w:tcPr>
          <w:p w14:paraId="532A3848" w14:textId="4EFEAF24" w:rsidR="00EE5E88" w:rsidRPr="00781F53" w:rsidRDefault="00B93682"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(7.2)</w:t>
            </w:r>
          </w:p>
        </w:tc>
      </w:tr>
      <w:tr w:rsidR="00EE5E88" w:rsidRPr="00781F53" w14:paraId="1A70D43C" w14:textId="77777777" w:rsidTr="4A94AE94">
        <w:trPr>
          <w:trHeight w:val="178"/>
        </w:trPr>
        <w:tc>
          <w:tcPr>
            <w:tcW w:w="5080" w:type="dxa"/>
            <w:tcBorders>
              <w:top w:val="nil"/>
              <w:left w:val="nil"/>
              <w:bottom w:val="nil"/>
              <w:right w:val="nil"/>
            </w:tcBorders>
            <w:shd w:val="clear" w:color="auto" w:fill="D9D9D9" w:themeFill="background1" w:themeFillShade="D9"/>
          </w:tcPr>
          <w:p w14:paraId="362863E9" w14:textId="07833455" w:rsidR="00EE5E88" w:rsidRPr="00781F53" w:rsidRDefault="00EE5E88"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Non-controlling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interests</w:t>
            </w:r>
            <w:proofErr w:type="spellEnd"/>
          </w:p>
        </w:tc>
        <w:tc>
          <w:tcPr>
            <w:tcW w:w="1740" w:type="dxa"/>
            <w:tcBorders>
              <w:top w:val="nil"/>
              <w:left w:val="nil"/>
              <w:bottom w:val="nil"/>
              <w:right w:val="nil"/>
            </w:tcBorders>
            <w:shd w:val="clear" w:color="auto" w:fill="D9D9D9" w:themeFill="background1" w:themeFillShade="D9"/>
          </w:tcPr>
          <w:p w14:paraId="468DB6B0" w14:textId="4962D89A" w:rsidR="00EE5E88" w:rsidRPr="00781F53" w:rsidRDefault="00EE5E88"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w:t>
            </w:r>
          </w:p>
        </w:tc>
        <w:tc>
          <w:tcPr>
            <w:tcW w:w="1680" w:type="dxa"/>
            <w:tcBorders>
              <w:top w:val="nil"/>
              <w:left w:val="nil"/>
              <w:bottom w:val="nil"/>
              <w:right w:val="nil"/>
            </w:tcBorders>
            <w:shd w:val="clear" w:color="auto" w:fill="D9D9D9" w:themeFill="background1" w:themeFillShade="D9"/>
          </w:tcPr>
          <w:p w14:paraId="45A65DFF" w14:textId="0BCA4995" w:rsidR="00EE5E88" w:rsidRPr="00781F53" w:rsidRDefault="00EE5E88"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w:t>
            </w:r>
          </w:p>
        </w:tc>
      </w:tr>
      <w:tr w:rsidR="00EE5E88" w:rsidRPr="00781F53" w14:paraId="2A3DED58" w14:textId="77777777" w:rsidTr="4A94AE94">
        <w:trPr>
          <w:trHeight w:val="127"/>
        </w:trPr>
        <w:tc>
          <w:tcPr>
            <w:tcW w:w="5080" w:type="dxa"/>
            <w:tcBorders>
              <w:top w:val="nil"/>
              <w:left w:val="nil"/>
              <w:bottom w:val="nil"/>
              <w:right w:val="nil"/>
            </w:tcBorders>
            <w:shd w:val="clear" w:color="auto" w:fill="FFFFFF" w:themeFill="background1"/>
          </w:tcPr>
          <w:p w14:paraId="758AB80B" w14:textId="3DBF0407" w:rsidR="00EE5E88" w:rsidRPr="00781F53" w:rsidRDefault="00EE5E88"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Non-controlling</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interests</w:t>
            </w:r>
            <w:proofErr w:type="spellEnd"/>
          </w:p>
        </w:tc>
        <w:tc>
          <w:tcPr>
            <w:tcW w:w="1740" w:type="dxa"/>
            <w:tcBorders>
              <w:top w:val="nil"/>
              <w:left w:val="nil"/>
              <w:bottom w:val="nil"/>
              <w:right w:val="nil"/>
            </w:tcBorders>
            <w:shd w:val="clear" w:color="auto" w:fill="FFFFFF" w:themeFill="background1"/>
          </w:tcPr>
          <w:p w14:paraId="65C36B51" w14:textId="7D876867"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c>
          <w:tcPr>
            <w:tcW w:w="1680" w:type="dxa"/>
            <w:tcBorders>
              <w:top w:val="nil"/>
              <w:left w:val="nil"/>
              <w:bottom w:val="nil"/>
              <w:right w:val="nil"/>
            </w:tcBorders>
            <w:shd w:val="clear" w:color="auto" w:fill="FFFFFF" w:themeFill="background1"/>
          </w:tcPr>
          <w:p w14:paraId="14F8DCDE" w14:textId="4AD79C91" w:rsidR="00EE5E88" w:rsidRPr="00781F53" w:rsidRDefault="00EE5E88"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FE6DD2" w:rsidRPr="00781F53" w14:paraId="4EA8205E" w14:textId="77777777" w:rsidTr="4A94AE94">
        <w:trPr>
          <w:trHeight w:val="127"/>
        </w:trPr>
        <w:tc>
          <w:tcPr>
            <w:tcW w:w="5080" w:type="dxa"/>
            <w:tcBorders>
              <w:top w:val="nil"/>
              <w:left w:val="nil"/>
              <w:bottom w:val="nil"/>
              <w:right w:val="nil"/>
            </w:tcBorders>
            <w:shd w:val="clear" w:color="auto" w:fill="D9D9D9" w:themeFill="background1" w:themeFillShade="D9"/>
          </w:tcPr>
          <w:p w14:paraId="047807DA" w14:textId="24769BE9" w:rsidR="00FE6DD2" w:rsidRPr="00781F53" w:rsidRDefault="00EA6006"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Equity</w:t>
            </w:r>
            <w:proofErr w:type="spellEnd"/>
          </w:p>
        </w:tc>
        <w:tc>
          <w:tcPr>
            <w:tcW w:w="1740" w:type="dxa"/>
            <w:tcBorders>
              <w:top w:val="nil"/>
              <w:left w:val="nil"/>
              <w:bottom w:val="nil"/>
              <w:right w:val="nil"/>
            </w:tcBorders>
            <w:shd w:val="clear" w:color="auto" w:fill="D9D9D9" w:themeFill="background1" w:themeFillShade="D9"/>
          </w:tcPr>
          <w:p w14:paraId="0BD1E075" w14:textId="5E5EC4E5" w:rsidR="00FE6DD2" w:rsidRPr="00781F53" w:rsidRDefault="00EA6006" w:rsidP="00781F53">
            <w:pPr>
              <w:spacing w:line="276" w:lineRule="auto"/>
              <w:ind w:firstLine="320"/>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(6.9)</w:t>
            </w:r>
          </w:p>
        </w:tc>
        <w:tc>
          <w:tcPr>
            <w:tcW w:w="1680" w:type="dxa"/>
            <w:tcBorders>
              <w:top w:val="nil"/>
              <w:left w:val="nil"/>
              <w:bottom w:val="nil"/>
              <w:right w:val="nil"/>
            </w:tcBorders>
            <w:shd w:val="clear" w:color="auto" w:fill="D9D9D9" w:themeFill="background1" w:themeFillShade="D9"/>
          </w:tcPr>
          <w:p w14:paraId="0D9CAD11" w14:textId="2DA5A9AC" w:rsidR="00FE6DD2" w:rsidRPr="00781F53" w:rsidRDefault="00CC370D" w:rsidP="00781F53">
            <w:pPr>
              <w:spacing w:line="276" w:lineRule="auto"/>
              <w:ind w:firstLine="320"/>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638.1</w:t>
            </w:r>
          </w:p>
        </w:tc>
      </w:tr>
      <w:tr w:rsidR="004F67D1" w:rsidRPr="00781F53" w14:paraId="6E4472C1" w14:textId="77777777" w:rsidTr="4A94AE94">
        <w:trPr>
          <w:trHeight w:val="138"/>
        </w:trPr>
        <w:tc>
          <w:tcPr>
            <w:tcW w:w="5080" w:type="dxa"/>
            <w:tcBorders>
              <w:top w:val="nil"/>
              <w:left w:val="nil"/>
              <w:bottom w:val="nil"/>
              <w:right w:val="nil"/>
            </w:tcBorders>
            <w:shd w:val="clear" w:color="auto" w:fill="FFC000" w:themeFill="accent4"/>
          </w:tcPr>
          <w:p w14:paraId="31CFC673" w14:textId="7D4F917F" w:rsidR="004F67D1" w:rsidRPr="00781F53" w:rsidRDefault="007539DB" w:rsidP="00781F53">
            <w:pPr>
              <w:widowControl/>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C000" w:themeFill="accent4"/>
            <w:vAlign w:val="center"/>
          </w:tcPr>
          <w:p w14:paraId="0AFCE4E6" w14:textId="6ACE1FD8" w:rsidR="004F67D1" w:rsidRPr="00781F53" w:rsidRDefault="004F67D1" w:rsidP="00781F53">
            <w:pPr>
              <w:spacing w:line="276" w:lineRule="auto"/>
              <w:jc w:val="center"/>
              <w:rPr>
                <w:rFonts w:ascii="Arial" w:eastAsia="Times New Roman" w:hAnsi="Arial" w:cs="Arial"/>
                <w:b/>
                <w:bCs/>
                <w:color w:val="404040" w:themeColor="text1" w:themeTint="BF"/>
                <w:sz w:val="16"/>
                <w:szCs w:val="16"/>
                <w:lang w:val="pt-PT" w:eastAsia="pl-PL"/>
              </w:rPr>
            </w:pPr>
          </w:p>
        </w:tc>
        <w:tc>
          <w:tcPr>
            <w:tcW w:w="1680" w:type="dxa"/>
            <w:tcBorders>
              <w:top w:val="nil"/>
              <w:left w:val="nil"/>
              <w:bottom w:val="nil"/>
              <w:right w:val="nil"/>
            </w:tcBorders>
            <w:shd w:val="clear" w:color="auto" w:fill="FFC000" w:themeFill="accent4"/>
            <w:vAlign w:val="center"/>
          </w:tcPr>
          <w:p w14:paraId="22E60B19" w14:textId="1BE2E73F" w:rsidR="004F67D1" w:rsidRPr="00781F53" w:rsidRDefault="004F67D1" w:rsidP="00781F53">
            <w:pPr>
              <w:spacing w:line="276" w:lineRule="auto"/>
              <w:jc w:val="center"/>
              <w:rPr>
                <w:rFonts w:ascii="Arial" w:eastAsia="Times New Roman" w:hAnsi="Arial" w:cs="Arial"/>
                <w:b/>
                <w:bCs/>
                <w:color w:val="404040" w:themeColor="text1" w:themeTint="BF"/>
                <w:sz w:val="16"/>
                <w:szCs w:val="16"/>
                <w:lang w:val="pt-PT" w:eastAsia="pl-PL"/>
              </w:rPr>
            </w:pPr>
          </w:p>
        </w:tc>
      </w:tr>
      <w:tr w:rsidR="008A471F" w:rsidRPr="00781F53" w14:paraId="5B6F8738" w14:textId="77777777" w:rsidTr="4A94AE94">
        <w:trPr>
          <w:trHeight w:val="138"/>
        </w:trPr>
        <w:tc>
          <w:tcPr>
            <w:tcW w:w="5080" w:type="dxa"/>
            <w:tcBorders>
              <w:top w:val="nil"/>
              <w:left w:val="nil"/>
              <w:bottom w:val="nil"/>
              <w:right w:val="nil"/>
            </w:tcBorders>
            <w:shd w:val="clear" w:color="auto" w:fill="D9D9D9" w:themeFill="background1" w:themeFillShade="D9"/>
          </w:tcPr>
          <w:p w14:paraId="14A528A6" w14:textId="7A37E5B7" w:rsidR="008A471F" w:rsidRPr="00781F53" w:rsidRDefault="008A471F"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Non-current</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D9D9D9" w:themeFill="background1" w:themeFillShade="D9"/>
          </w:tcPr>
          <w:p w14:paraId="1F151FAE" w14:textId="48C731E3" w:rsidR="008A471F" w:rsidRPr="00781F53" w:rsidRDefault="3E3BA4A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5,693.9</w:t>
            </w:r>
          </w:p>
        </w:tc>
        <w:tc>
          <w:tcPr>
            <w:tcW w:w="1680" w:type="dxa"/>
            <w:tcBorders>
              <w:top w:val="nil"/>
              <w:left w:val="nil"/>
              <w:bottom w:val="nil"/>
              <w:right w:val="nil"/>
            </w:tcBorders>
            <w:shd w:val="clear" w:color="auto" w:fill="D9D9D9" w:themeFill="background1" w:themeFillShade="D9"/>
          </w:tcPr>
          <w:p w14:paraId="086D129B" w14:textId="1D0D5219" w:rsidR="008A471F" w:rsidRPr="00781F53" w:rsidRDefault="3E3BA4A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1,105.6</w:t>
            </w:r>
          </w:p>
        </w:tc>
      </w:tr>
      <w:tr w:rsidR="00697283" w:rsidRPr="00781F53" w14:paraId="57DFD721" w14:textId="77777777" w:rsidTr="4A94AE94">
        <w:trPr>
          <w:trHeight w:val="113"/>
        </w:trPr>
        <w:tc>
          <w:tcPr>
            <w:tcW w:w="5080" w:type="dxa"/>
            <w:tcBorders>
              <w:top w:val="nil"/>
              <w:left w:val="nil"/>
              <w:bottom w:val="nil"/>
              <w:right w:val="nil"/>
            </w:tcBorders>
            <w:shd w:val="clear" w:color="auto" w:fill="FFFFFF" w:themeFill="background1"/>
          </w:tcPr>
          <w:p w14:paraId="52F34A8D" w14:textId="0FC818CA"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Loans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borrowings</w:t>
            </w:r>
            <w:proofErr w:type="spellEnd"/>
          </w:p>
        </w:tc>
        <w:tc>
          <w:tcPr>
            <w:tcW w:w="1740" w:type="dxa"/>
            <w:tcBorders>
              <w:top w:val="nil"/>
              <w:left w:val="nil"/>
              <w:bottom w:val="nil"/>
              <w:right w:val="nil"/>
            </w:tcBorders>
            <w:shd w:val="clear" w:color="auto" w:fill="FFFFFF" w:themeFill="background1"/>
          </w:tcPr>
          <w:p w14:paraId="5A7FE78D" w14:textId="12F438DA"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4,545.8</w:t>
            </w:r>
          </w:p>
        </w:tc>
        <w:tc>
          <w:tcPr>
            <w:tcW w:w="1680" w:type="dxa"/>
            <w:tcBorders>
              <w:top w:val="nil"/>
              <w:left w:val="nil"/>
              <w:bottom w:val="nil"/>
              <w:right w:val="nil"/>
            </w:tcBorders>
            <w:shd w:val="clear" w:color="auto" w:fill="FFFFFF" w:themeFill="background1"/>
          </w:tcPr>
          <w:p w14:paraId="77E2EE60" w14:textId="3E35B639"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743.4</w:t>
            </w:r>
          </w:p>
        </w:tc>
      </w:tr>
      <w:tr w:rsidR="00697283" w:rsidRPr="00781F53" w14:paraId="51E204A2" w14:textId="77777777" w:rsidTr="4A94AE94">
        <w:trPr>
          <w:trHeight w:val="103"/>
        </w:trPr>
        <w:tc>
          <w:tcPr>
            <w:tcW w:w="5080" w:type="dxa"/>
            <w:tcBorders>
              <w:top w:val="nil"/>
              <w:left w:val="nil"/>
              <w:bottom w:val="nil"/>
              <w:right w:val="nil"/>
            </w:tcBorders>
            <w:shd w:val="clear" w:color="auto" w:fill="FFFFFF" w:themeFill="background1"/>
          </w:tcPr>
          <w:p w14:paraId="414CE960" w14:textId="02C2C8E0"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Employee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benefits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provisions</w:t>
            </w:r>
            <w:proofErr w:type="spellEnd"/>
          </w:p>
        </w:tc>
        <w:tc>
          <w:tcPr>
            <w:tcW w:w="1740" w:type="dxa"/>
            <w:tcBorders>
              <w:top w:val="nil"/>
              <w:left w:val="nil"/>
              <w:bottom w:val="nil"/>
              <w:right w:val="nil"/>
            </w:tcBorders>
            <w:shd w:val="clear" w:color="auto" w:fill="FFFFFF" w:themeFill="background1"/>
          </w:tcPr>
          <w:p w14:paraId="3EA1E04A" w14:textId="2D9C76EF"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33.2</w:t>
            </w:r>
          </w:p>
        </w:tc>
        <w:tc>
          <w:tcPr>
            <w:tcW w:w="1680" w:type="dxa"/>
            <w:tcBorders>
              <w:top w:val="nil"/>
              <w:left w:val="nil"/>
              <w:bottom w:val="nil"/>
              <w:right w:val="nil"/>
            </w:tcBorders>
            <w:shd w:val="clear" w:color="auto" w:fill="FFFFFF" w:themeFill="background1"/>
          </w:tcPr>
          <w:p w14:paraId="63265D9C" w14:textId="668B7A93"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14.0</w:t>
            </w:r>
          </w:p>
        </w:tc>
      </w:tr>
      <w:tr w:rsidR="00697283" w:rsidRPr="00781F53" w14:paraId="468F802F" w14:textId="77777777" w:rsidTr="4A94AE94">
        <w:trPr>
          <w:trHeight w:val="221"/>
        </w:trPr>
        <w:tc>
          <w:tcPr>
            <w:tcW w:w="5080" w:type="dxa"/>
            <w:tcBorders>
              <w:top w:val="nil"/>
              <w:left w:val="nil"/>
              <w:bottom w:val="nil"/>
              <w:right w:val="nil"/>
            </w:tcBorders>
            <w:shd w:val="clear" w:color="auto" w:fill="FFFFFF" w:themeFill="background1"/>
          </w:tcPr>
          <w:p w14:paraId="66D8A852" w14:textId="73281020"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Government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grants</w:t>
            </w:r>
            <w:proofErr w:type="spellEnd"/>
          </w:p>
        </w:tc>
        <w:tc>
          <w:tcPr>
            <w:tcW w:w="1740" w:type="dxa"/>
            <w:tcBorders>
              <w:top w:val="nil"/>
              <w:left w:val="nil"/>
              <w:bottom w:val="nil"/>
              <w:right w:val="nil"/>
            </w:tcBorders>
            <w:shd w:val="clear" w:color="auto" w:fill="FFFFFF" w:themeFill="background1"/>
          </w:tcPr>
          <w:p w14:paraId="20BE3A17" w14:textId="0FEA4BBF"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1.2</w:t>
            </w:r>
          </w:p>
        </w:tc>
        <w:tc>
          <w:tcPr>
            <w:tcW w:w="1680" w:type="dxa"/>
            <w:tcBorders>
              <w:top w:val="nil"/>
              <w:left w:val="nil"/>
              <w:bottom w:val="nil"/>
              <w:right w:val="nil"/>
            </w:tcBorders>
            <w:shd w:val="clear" w:color="auto" w:fill="FFFFFF" w:themeFill="background1"/>
          </w:tcPr>
          <w:p w14:paraId="3CC75833" w14:textId="2A6898E8"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9.2</w:t>
            </w:r>
          </w:p>
        </w:tc>
      </w:tr>
      <w:tr w:rsidR="00697283" w:rsidRPr="00781F53" w14:paraId="2321F8C8" w14:textId="77777777" w:rsidTr="4A94AE94">
        <w:trPr>
          <w:trHeight w:val="153"/>
        </w:trPr>
        <w:tc>
          <w:tcPr>
            <w:tcW w:w="5080" w:type="dxa"/>
            <w:tcBorders>
              <w:top w:val="nil"/>
              <w:left w:val="nil"/>
              <w:bottom w:val="nil"/>
              <w:right w:val="nil"/>
            </w:tcBorders>
            <w:shd w:val="clear" w:color="auto" w:fill="FFFFFF" w:themeFill="background1"/>
          </w:tcPr>
          <w:p w14:paraId="0A3554E2" w14:textId="50854011"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Deferred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liability</w:t>
            </w:r>
            <w:proofErr w:type="spellEnd"/>
          </w:p>
        </w:tc>
        <w:tc>
          <w:tcPr>
            <w:tcW w:w="1740" w:type="dxa"/>
            <w:tcBorders>
              <w:top w:val="nil"/>
              <w:left w:val="nil"/>
              <w:bottom w:val="nil"/>
              <w:right w:val="nil"/>
            </w:tcBorders>
            <w:shd w:val="clear" w:color="auto" w:fill="FFFFFF" w:themeFill="background1"/>
          </w:tcPr>
          <w:p w14:paraId="3B06125B" w14:textId="09BED0CE"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278.6</w:t>
            </w:r>
          </w:p>
        </w:tc>
        <w:tc>
          <w:tcPr>
            <w:tcW w:w="1680" w:type="dxa"/>
            <w:tcBorders>
              <w:top w:val="nil"/>
              <w:left w:val="nil"/>
              <w:bottom w:val="nil"/>
              <w:right w:val="nil"/>
            </w:tcBorders>
            <w:shd w:val="clear" w:color="auto" w:fill="FFFFFF" w:themeFill="background1"/>
          </w:tcPr>
          <w:p w14:paraId="72FB05FF" w14:textId="785D1E1D"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35.0</w:t>
            </w:r>
          </w:p>
        </w:tc>
      </w:tr>
      <w:tr w:rsidR="00697283" w:rsidRPr="00781F53" w14:paraId="60F3BD77" w14:textId="77777777" w:rsidTr="4A94AE94">
        <w:trPr>
          <w:trHeight w:val="201"/>
        </w:trPr>
        <w:tc>
          <w:tcPr>
            <w:tcW w:w="5080" w:type="dxa"/>
            <w:tcBorders>
              <w:top w:val="nil"/>
              <w:left w:val="nil"/>
              <w:bottom w:val="nil"/>
              <w:right w:val="nil"/>
            </w:tcBorders>
            <w:shd w:val="clear" w:color="auto" w:fill="FFFFFF" w:themeFill="background1"/>
          </w:tcPr>
          <w:p w14:paraId="6951CEEB" w14:textId="772F7C23"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financial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027C0B68" w14:textId="27592FFA"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835.1</w:t>
            </w:r>
          </w:p>
        </w:tc>
        <w:tc>
          <w:tcPr>
            <w:tcW w:w="1680" w:type="dxa"/>
            <w:tcBorders>
              <w:top w:val="nil"/>
              <w:left w:val="nil"/>
              <w:bottom w:val="nil"/>
              <w:right w:val="nil"/>
            </w:tcBorders>
            <w:shd w:val="clear" w:color="auto" w:fill="FFFFFF" w:themeFill="background1"/>
          </w:tcPr>
          <w:p w14:paraId="6BCE35D3" w14:textId="239263F6"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304.0</w:t>
            </w:r>
          </w:p>
        </w:tc>
      </w:tr>
      <w:tr w:rsidR="00F0385A" w:rsidRPr="00781F53" w14:paraId="74297654" w14:textId="77777777" w:rsidTr="4A94AE94">
        <w:trPr>
          <w:trHeight w:val="178"/>
        </w:trPr>
        <w:tc>
          <w:tcPr>
            <w:tcW w:w="5080" w:type="dxa"/>
            <w:tcBorders>
              <w:top w:val="nil"/>
              <w:left w:val="nil"/>
              <w:bottom w:val="nil"/>
              <w:right w:val="nil"/>
            </w:tcBorders>
            <w:shd w:val="clear" w:color="auto" w:fill="D9D9D9" w:themeFill="background1" w:themeFillShade="D9"/>
            <w:vAlign w:val="center"/>
          </w:tcPr>
          <w:p w14:paraId="26FCA6A5" w14:textId="42E388D4" w:rsidR="00F0385A" w:rsidRPr="00781F53" w:rsidRDefault="00F0385A"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Current</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D9D9D9" w:themeFill="background1" w:themeFillShade="D9"/>
          </w:tcPr>
          <w:p w14:paraId="4591C981" w14:textId="301B5FE9" w:rsidR="00F0385A" w:rsidRPr="00781F53" w:rsidRDefault="217D7FC9"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1,605.9</w:t>
            </w:r>
          </w:p>
        </w:tc>
        <w:tc>
          <w:tcPr>
            <w:tcW w:w="1680" w:type="dxa"/>
            <w:tcBorders>
              <w:top w:val="nil"/>
              <w:left w:val="nil"/>
              <w:bottom w:val="nil"/>
              <w:right w:val="nil"/>
            </w:tcBorders>
            <w:shd w:val="clear" w:color="auto" w:fill="D9D9D9" w:themeFill="background1" w:themeFillShade="D9"/>
          </w:tcPr>
          <w:p w14:paraId="04EC313C" w14:textId="196FC5B8" w:rsidR="00F0385A" w:rsidRPr="00781F53" w:rsidRDefault="217D7FC9"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737.1</w:t>
            </w:r>
          </w:p>
        </w:tc>
      </w:tr>
      <w:tr w:rsidR="00697283" w:rsidRPr="00781F53" w14:paraId="652C429A" w14:textId="77777777" w:rsidTr="4A94AE94">
        <w:trPr>
          <w:trHeight w:val="127"/>
        </w:trPr>
        <w:tc>
          <w:tcPr>
            <w:tcW w:w="5080" w:type="dxa"/>
            <w:tcBorders>
              <w:top w:val="nil"/>
              <w:left w:val="nil"/>
              <w:bottom w:val="nil"/>
              <w:right w:val="nil"/>
            </w:tcBorders>
            <w:shd w:val="clear" w:color="auto" w:fill="FFFFFF" w:themeFill="background1"/>
          </w:tcPr>
          <w:p w14:paraId="75AD62CF" w14:textId="1CCB7A7F"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Trade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payables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payables</w:t>
            </w:r>
            <w:proofErr w:type="spellEnd"/>
          </w:p>
        </w:tc>
        <w:tc>
          <w:tcPr>
            <w:tcW w:w="1740" w:type="dxa"/>
            <w:tcBorders>
              <w:top w:val="nil"/>
              <w:left w:val="nil"/>
              <w:bottom w:val="nil"/>
              <w:right w:val="nil"/>
            </w:tcBorders>
            <w:shd w:val="clear" w:color="auto" w:fill="FFFFFF" w:themeFill="background1"/>
          </w:tcPr>
          <w:p w14:paraId="17B4876D" w14:textId="38893921"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785.7</w:t>
            </w:r>
          </w:p>
        </w:tc>
        <w:tc>
          <w:tcPr>
            <w:tcW w:w="1680" w:type="dxa"/>
            <w:tcBorders>
              <w:top w:val="nil"/>
              <w:left w:val="nil"/>
              <w:bottom w:val="nil"/>
              <w:right w:val="nil"/>
            </w:tcBorders>
            <w:shd w:val="clear" w:color="auto" w:fill="FFFFFF" w:themeFill="background1"/>
          </w:tcPr>
          <w:p w14:paraId="03BC2D8E" w14:textId="036176B7"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292.3</w:t>
            </w:r>
          </w:p>
        </w:tc>
      </w:tr>
      <w:bookmarkEnd w:id="1"/>
      <w:tr w:rsidR="00697283" w:rsidRPr="00781F53" w14:paraId="10F35ACA" w14:textId="77777777" w:rsidTr="4A94AE94">
        <w:trPr>
          <w:trHeight w:val="127"/>
        </w:trPr>
        <w:tc>
          <w:tcPr>
            <w:tcW w:w="5080" w:type="dxa"/>
            <w:tcBorders>
              <w:top w:val="nil"/>
              <w:left w:val="nil"/>
              <w:bottom w:val="nil"/>
              <w:right w:val="nil"/>
            </w:tcBorders>
            <w:shd w:val="clear" w:color="auto" w:fill="FFFFFF" w:themeFill="background1"/>
          </w:tcPr>
          <w:p w14:paraId="6E03F99D" w14:textId="06A6AD2F"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Loans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borrowings</w:t>
            </w:r>
            <w:proofErr w:type="spellEnd"/>
          </w:p>
        </w:tc>
        <w:tc>
          <w:tcPr>
            <w:tcW w:w="1740" w:type="dxa"/>
            <w:tcBorders>
              <w:top w:val="nil"/>
              <w:left w:val="nil"/>
              <w:bottom w:val="nil"/>
              <w:right w:val="nil"/>
            </w:tcBorders>
            <w:shd w:val="clear" w:color="auto" w:fill="FFFFFF" w:themeFill="background1"/>
          </w:tcPr>
          <w:p w14:paraId="298BFCEA" w14:textId="7538145D"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194.4</w:t>
            </w:r>
          </w:p>
        </w:tc>
        <w:tc>
          <w:tcPr>
            <w:tcW w:w="1680" w:type="dxa"/>
            <w:tcBorders>
              <w:top w:val="nil"/>
              <w:left w:val="nil"/>
              <w:bottom w:val="nil"/>
              <w:right w:val="nil"/>
            </w:tcBorders>
            <w:shd w:val="clear" w:color="auto" w:fill="FFFFFF" w:themeFill="background1"/>
          </w:tcPr>
          <w:p w14:paraId="7A7260AA" w14:textId="037234F7"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23.7</w:t>
            </w:r>
          </w:p>
        </w:tc>
      </w:tr>
      <w:tr w:rsidR="00697283" w:rsidRPr="00781F53" w14:paraId="79749C12" w14:textId="77777777" w:rsidTr="4A94AE94">
        <w:trPr>
          <w:trHeight w:val="127"/>
        </w:trPr>
        <w:tc>
          <w:tcPr>
            <w:tcW w:w="5080" w:type="dxa"/>
            <w:tcBorders>
              <w:top w:val="nil"/>
              <w:left w:val="nil"/>
              <w:bottom w:val="nil"/>
              <w:right w:val="nil"/>
            </w:tcBorders>
            <w:shd w:val="clear" w:color="auto" w:fill="FFFFFF" w:themeFill="background1"/>
          </w:tcPr>
          <w:p w14:paraId="62EEA2C4" w14:textId="3A691EC4"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Government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grants</w:t>
            </w:r>
            <w:proofErr w:type="spellEnd"/>
          </w:p>
        </w:tc>
        <w:tc>
          <w:tcPr>
            <w:tcW w:w="1740" w:type="dxa"/>
            <w:tcBorders>
              <w:top w:val="nil"/>
              <w:left w:val="nil"/>
              <w:bottom w:val="nil"/>
              <w:right w:val="nil"/>
            </w:tcBorders>
            <w:shd w:val="clear" w:color="auto" w:fill="FFFFFF" w:themeFill="background1"/>
          </w:tcPr>
          <w:p w14:paraId="77E7198F" w14:textId="4F66A0E6"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c>
          <w:tcPr>
            <w:tcW w:w="1680" w:type="dxa"/>
            <w:tcBorders>
              <w:top w:val="nil"/>
              <w:left w:val="nil"/>
              <w:bottom w:val="nil"/>
              <w:right w:val="nil"/>
            </w:tcBorders>
            <w:shd w:val="clear" w:color="auto" w:fill="FFFFFF" w:themeFill="background1"/>
          </w:tcPr>
          <w:p w14:paraId="77CC736A" w14:textId="2F378819"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4.2</w:t>
            </w:r>
          </w:p>
        </w:tc>
      </w:tr>
      <w:tr w:rsidR="00697283" w:rsidRPr="00781F53" w14:paraId="15D4B339" w14:textId="77777777" w:rsidTr="4A94AE94">
        <w:trPr>
          <w:trHeight w:val="127"/>
        </w:trPr>
        <w:tc>
          <w:tcPr>
            <w:tcW w:w="5080" w:type="dxa"/>
            <w:tcBorders>
              <w:top w:val="nil"/>
              <w:left w:val="nil"/>
              <w:bottom w:val="nil"/>
              <w:right w:val="nil"/>
            </w:tcBorders>
            <w:shd w:val="clear" w:color="auto" w:fill="FFFFFF" w:themeFill="background1"/>
          </w:tcPr>
          <w:p w14:paraId="09945468" w14:textId="14340115"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Current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1A76C29F" w14:textId="006CFA2F"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43.7</w:t>
            </w:r>
          </w:p>
        </w:tc>
        <w:tc>
          <w:tcPr>
            <w:tcW w:w="1680" w:type="dxa"/>
            <w:tcBorders>
              <w:top w:val="nil"/>
              <w:left w:val="nil"/>
              <w:bottom w:val="nil"/>
              <w:right w:val="nil"/>
            </w:tcBorders>
            <w:shd w:val="clear" w:color="auto" w:fill="FFFFFF" w:themeFill="background1"/>
          </w:tcPr>
          <w:p w14:paraId="59150103" w14:textId="6FC67B0B"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22.4</w:t>
            </w:r>
          </w:p>
        </w:tc>
      </w:tr>
      <w:tr w:rsidR="00697283" w:rsidRPr="00781F53" w14:paraId="3DFA1DC2" w14:textId="77777777" w:rsidTr="4A94AE94">
        <w:trPr>
          <w:trHeight w:val="86"/>
        </w:trPr>
        <w:tc>
          <w:tcPr>
            <w:tcW w:w="5080" w:type="dxa"/>
            <w:tcBorders>
              <w:top w:val="nil"/>
              <w:left w:val="nil"/>
              <w:bottom w:val="nil"/>
              <w:right w:val="nil"/>
            </w:tcBorders>
            <w:shd w:val="clear" w:color="auto" w:fill="FFFFFF" w:themeFill="background1"/>
          </w:tcPr>
          <w:p w14:paraId="1BEC5119" w14:textId="49FF4277"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Employee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benefits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provisions</w:t>
            </w:r>
            <w:proofErr w:type="spellEnd"/>
          </w:p>
        </w:tc>
        <w:tc>
          <w:tcPr>
            <w:tcW w:w="1740" w:type="dxa"/>
            <w:tcBorders>
              <w:top w:val="nil"/>
              <w:left w:val="nil"/>
              <w:bottom w:val="nil"/>
              <w:right w:val="nil"/>
            </w:tcBorders>
            <w:shd w:val="clear" w:color="auto" w:fill="FFFFFF" w:themeFill="background1"/>
          </w:tcPr>
          <w:p w14:paraId="53EFF92F" w14:textId="2C6B4804"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103.2</w:t>
            </w:r>
          </w:p>
        </w:tc>
        <w:tc>
          <w:tcPr>
            <w:tcW w:w="1680" w:type="dxa"/>
            <w:tcBorders>
              <w:top w:val="nil"/>
              <w:left w:val="nil"/>
              <w:bottom w:val="nil"/>
              <w:right w:val="nil"/>
            </w:tcBorders>
            <w:shd w:val="clear" w:color="auto" w:fill="FFFFFF" w:themeFill="background1"/>
          </w:tcPr>
          <w:p w14:paraId="38375664" w14:textId="2AB67993"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42.2</w:t>
            </w:r>
          </w:p>
        </w:tc>
      </w:tr>
      <w:tr w:rsidR="00697283" w:rsidRPr="00781F53" w14:paraId="6544C627" w14:textId="77777777" w:rsidTr="4A94AE94">
        <w:trPr>
          <w:trHeight w:val="86"/>
        </w:trPr>
        <w:tc>
          <w:tcPr>
            <w:tcW w:w="5080" w:type="dxa"/>
            <w:tcBorders>
              <w:top w:val="nil"/>
              <w:left w:val="nil"/>
              <w:bottom w:val="nil"/>
              <w:right w:val="nil"/>
            </w:tcBorders>
            <w:shd w:val="clear" w:color="auto" w:fill="FFFFFF" w:themeFill="background1"/>
          </w:tcPr>
          <w:p w14:paraId="79AA241B" w14:textId="60A5A0FA"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financial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0F380F88" w14:textId="3562D81E"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357.7</w:t>
            </w:r>
          </w:p>
        </w:tc>
        <w:tc>
          <w:tcPr>
            <w:tcW w:w="1680" w:type="dxa"/>
            <w:tcBorders>
              <w:top w:val="nil"/>
              <w:left w:val="nil"/>
              <w:bottom w:val="nil"/>
              <w:right w:val="nil"/>
            </w:tcBorders>
            <w:shd w:val="clear" w:color="auto" w:fill="FFFFFF" w:themeFill="background1"/>
          </w:tcPr>
          <w:p w14:paraId="74B88149" w14:textId="2C09B6F7"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232.7</w:t>
            </w:r>
          </w:p>
        </w:tc>
      </w:tr>
      <w:tr w:rsidR="00697283" w:rsidRPr="00781F53" w14:paraId="559D580C" w14:textId="77777777" w:rsidTr="4A94AE94">
        <w:trPr>
          <w:trHeight w:val="86"/>
        </w:trPr>
        <w:tc>
          <w:tcPr>
            <w:tcW w:w="5080" w:type="dxa"/>
            <w:tcBorders>
              <w:top w:val="nil"/>
              <w:left w:val="nil"/>
              <w:bottom w:val="nil"/>
              <w:right w:val="nil"/>
            </w:tcBorders>
            <w:shd w:val="clear" w:color="auto" w:fill="FFFFFF" w:themeFill="background1"/>
          </w:tcPr>
          <w:p w14:paraId="509C1940" w14:textId="4D1D772D" w:rsidR="00697283" w:rsidRPr="00781F53" w:rsidRDefault="00697283"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0F818F9C" w14:textId="0BBCE0D3"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121.2</w:t>
            </w:r>
          </w:p>
        </w:tc>
        <w:tc>
          <w:tcPr>
            <w:tcW w:w="1680" w:type="dxa"/>
            <w:tcBorders>
              <w:top w:val="nil"/>
              <w:left w:val="nil"/>
              <w:bottom w:val="nil"/>
              <w:right w:val="nil"/>
            </w:tcBorders>
            <w:shd w:val="clear" w:color="auto" w:fill="FFFFFF" w:themeFill="background1"/>
          </w:tcPr>
          <w:p w14:paraId="786F019A" w14:textId="6809AFE1" w:rsidR="00697283" w:rsidRPr="00781F53" w:rsidRDefault="00697283"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119.6</w:t>
            </w:r>
          </w:p>
        </w:tc>
      </w:tr>
      <w:tr w:rsidR="00697283" w:rsidRPr="00781F53" w14:paraId="0E59298C" w14:textId="77777777" w:rsidTr="4A94AE94">
        <w:trPr>
          <w:trHeight w:val="175"/>
        </w:trPr>
        <w:tc>
          <w:tcPr>
            <w:tcW w:w="5080" w:type="dxa"/>
            <w:tcBorders>
              <w:top w:val="nil"/>
              <w:left w:val="nil"/>
              <w:bottom w:val="nil"/>
              <w:right w:val="nil"/>
            </w:tcBorders>
            <w:shd w:val="clear" w:color="auto" w:fill="D9D9D9" w:themeFill="background1" w:themeFillShade="D9"/>
          </w:tcPr>
          <w:p w14:paraId="1411D8AD" w14:textId="72241FFA" w:rsidR="00697283" w:rsidRPr="00781F53" w:rsidRDefault="00697283"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Total </w:t>
            </w:r>
            <w:proofErr w:type="spellStart"/>
            <w:r w:rsidRPr="00781F53">
              <w:rPr>
                <w:rFonts w:ascii="Arial" w:eastAsia="Times New Roman" w:hAnsi="Arial" w:cs="Arial"/>
                <w:b/>
                <w:bCs/>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D9D9D9" w:themeFill="background1" w:themeFillShade="D9"/>
          </w:tcPr>
          <w:p w14:paraId="0BB21ABA" w14:textId="62150501" w:rsidR="00697283" w:rsidRPr="00781F53" w:rsidRDefault="7F31DED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7,299.8</w:t>
            </w:r>
          </w:p>
        </w:tc>
        <w:tc>
          <w:tcPr>
            <w:tcW w:w="1680" w:type="dxa"/>
            <w:tcBorders>
              <w:top w:val="nil"/>
              <w:left w:val="nil"/>
              <w:bottom w:val="nil"/>
              <w:right w:val="nil"/>
            </w:tcBorders>
            <w:shd w:val="clear" w:color="auto" w:fill="D9D9D9" w:themeFill="background1" w:themeFillShade="D9"/>
          </w:tcPr>
          <w:p w14:paraId="4AB7F5AF" w14:textId="2B873CC5" w:rsidR="00697283" w:rsidRPr="00781F53" w:rsidRDefault="7F31DED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1,842.7</w:t>
            </w:r>
          </w:p>
        </w:tc>
      </w:tr>
      <w:tr w:rsidR="00697283" w:rsidRPr="00781F53" w14:paraId="2FC81992" w14:textId="77777777" w:rsidTr="4A94AE94">
        <w:trPr>
          <w:trHeight w:val="175"/>
        </w:trPr>
        <w:tc>
          <w:tcPr>
            <w:tcW w:w="5080" w:type="dxa"/>
            <w:tcBorders>
              <w:top w:val="nil"/>
              <w:left w:val="nil"/>
              <w:bottom w:val="nil"/>
              <w:right w:val="nil"/>
            </w:tcBorders>
            <w:shd w:val="clear" w:color="auto" w:fill="FFC000" w:themeFill="accent4"/>
          </w:tcPr>
          <w:p w14:paraId="6CAF6DAF" w14:textId="51D71CB8" w:rsidR="00697283" w:rsidRPr="00781F53" w:rsidRDefault="00697283"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TOTAL EQUITY AND LIABILITIES</w:t>
            </w:r>
          </w:p>
        </w:tc>
        <w:tc>
          <w:tcPr>
            <w:tcW w:w="1740" w:type="dxa"/>
            <w:tcBorders>
              <w:top w:val="nil"/>
              <w:left w:val="nil"/>
              <w:bottom w:val="nil"/>
              <w:right w:val="nil"/>
            </w:tcBorders>
            <w:shd w:val="clear" w:color="auto" w:fill="FFC000" w:themeFill="accent4"/>
          </w:tcPr>
          <w:p w14:paraId="210FB7A8" w14:textId="25B778EF" w:rsidR="00697283" w:rsidRPr="00781F53" w:rsidRDefault="7F31DED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7,292.9</w:t>
            </w:r>
          </w:p>
        </w:tc>
        <w:tc>
          <w:tcPr>
            <w:tcW w:w="1680" w:type="dxa"/>
            <w:tcBorders>
              <w:top w:val="nil"/>
              <w:left w:val="nil"/>
              <w:bottom w:val="nil"/>
              <w:right w:val="nil"/>
            </w:tcBorders>
            <w:shd w:val="clear" w:color="auto" w:fill="FFC000" w:themeFill="accent4"/>
          </w:tcPr>
          <w:p w14:paraId="73055CDA" w14:textId="0B7C9C64" w:rsidR="00697283" w:rsidRPr="00781F53" w:rsidRDefault="7F31DED1"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     2,480.8</w:t>
            </w:r>
          </w:p>
        </w:tc>
      </w:tr>
    </w:tbl>
    <w:p w14:paraId="3C29351C" w14:textId="5894CDF6" w:rsidR="7582B57C" w:rsidRPr="00781F53" w:rsidRDefault="7582B57C" w:rsidP="00781F53">
      <w:pPr>
        <w:widowControl/>
        <w:spacing w:after="160" w:line="276" w:lineRule="auto"/>
        <w:rPr>
          <w:rFonts w:ascii="Arial" w:hAnsi="Arial" w:cs="Arial"/>
          <w:b/>
          <w:bCs/>
          <w:color w:val="404040" w:themeColor="text1" w:themeTint="BF"/>
          <w:sz w:val="20"/>
          <w:szCs w:val="20"/>
          <w:lang w:val="pt-PT"/>
        </w:rPr>
      </w:pPr>
    </w:p>
    <w:p w14:paraId="19105CDA" w14:textId="54A85103" w:rsidR="00876BA8" w:rsidRPr="00781F53" w:rsidRDefault="00A843AB" w:rsidP="00781F53">
      <w:pPr>
        <w:widowControl/>
        <w:autoSpaceDE/>
        <w:autoSpaceDN/>
        <w:spacing w:after="160" w:line="276" w:lineRule="auto"/>
        <w:rPr>
          <w:rFonts w:ascii="Arial" w:hAnsi="Arial" w:cs="Arial"/>
          <w:b/>
          <w:bCs/>
          <w:color w:val="404040" w:themeColor="text1" w:themeTint="BF"/>
          <w:sz w:val="20"/>
          <w:szCs w:val="20"/>
          <w:lang w:val="pt-PT"/>
        </w:rPr>
      </w:pPr>
      <w:r w:rsidRPr="00781F53">
        <w:rPr>
          <w:rFonts w:ascii="Arial" w:hAnsi="Arial" w:cs="Arial"/>
          <w:b/>
          <w:bCs/>
          <w:color w:val="404040" w:themeColor="text1" w:themeTint="BF"/>
          <w:sz w:val="20"/>
          <w:szCs w:val="20"/>
          <w:lang w:val="pt-PT"/>
        </w:rPr>
        <w:br w:type="page"/>
      </w:r>
    </w:p>
    <w:p w14:paraId="650341B2" w14:textId="49417299" w:rsidR="00A74FA4" w:rsidRPr="00781F53" w:rsidRDefault="004C019C" w:rsidP="00781F53">
      <w:pPr>
        <w:widowControl/>
        <w:spacing w:after="160" w:line="276" w:lineRule="auto"/>
        <w:rPr>
          <w:rFonts w:ascii="Arial" w:hAnsi="Arial" w:cs="Arial"/>
          <w:b/>
          <w:color w:val="404040" w:themeColor="text1" w:themeTint="BF"/>
          <w:sz w:val="18"/>
          <w:szCs w:val="18"/>
          <w:lang w:val="pt-PT"/>
        </w:rPr>
      </w:pPr>
      <w:r w:rsidRPr="004C019C">
        <w:rPr>
          <w:rFonts w:ascii="Arial" w:hAnsi="Arial" w:cs="Arial"/>
          <w:b/>
          <w:color w:val="404040" w:themeColor="text1" w:themeTint="BF"/>
          <w:sz w:val="18"/>
          <w:szCs w:val="18"/>
          <w:lang w:val="pt-PT"/>
        </w:rPr>
        <w:t xml:space="preserve">Demonstração consolidada dos fluxos de caixa </w:t>
      </w:r>
    </w:p>
    <w:p w14:paraId="7AB3C192" w14:textId="77777777" w:rsidR="00A843AB" w:rsidRPr="00781F53" w:rsidRDefault="00A843AB" w:rsidP="00781F53">
      <w:pPr>
        <w:widowControl/>
        <w:spacing w:after="160" w:line="276" w:lineRule="auto"/>
        <w:rPr>
          <w:rFonts w:ascii="Arial" w:hAnsi="Arial" w:cs="Arial"/>
          <w:b/>
          <w:bCs/>
          <w:color w:val="404040" w:themeColor="text1" w:themeTint="BF"/>
          <w:sz w:val="18"/>
          <w:szCs w:val="18"/>
          <w:lang w:val="pt-PT"/>
        </w:rPr>
      </w:pPr>
    </w:p>
    <w:tbl>
      <w:tblPr>
        <w:tblW w:w="0" w:type="auto"/>
        <w:tblLook w:val="04A0" w:firstRow="1" w:lastRow="0" w:firstColumn="1" w:lastColumn="0" w:noHBand="0" w:noVBand="1"/>
      </w:tblPr>
      <w:tblGrid>
        <w:gridCol w:w="5080"/>
        <w:gridCol w:w="1740"/>
        <w:gridCol w:w="1680"/>
      </w:tblGrid>
      <w:tr w:rsidR="00055D00" w:rsidRPr="00781F53" w14:paraId="3EE0C22C" w14:textId="77777777" w:rsidTr="4A94AE94">
        <w:trPr>
          <w:trHeight w:val="300"/>
        </w:trPr>
        <w:tc>
          <w:tcPr>
            <w:tcW w:w="5080" w:type="dxa"/>
            <w:tcBorders>
              <w:top w:val="nil"/>
              <w:left w:val="nil"/>
              <w:bottom w:val="nil"/>
              <w:right w:val="nil"/>
            </w:tcBorders>
            <w:shd w:val="clear" w:color="auto" w:fill="FFCB04"/>
            <w:vAlign w:val="center"/>
          </w:tcPr>
          <w:p w14:paraId="34A9DE1E" w14:textId="00FD4DB4" w:rsidR="00055D00" w:rsidRPr="00781F53" w:rsidRDefault="004C019C" w:rsidP="00781F53">
            <w:pPr>
              <w:widowControl/>
              <w:spacing w:line="276" w:lineRule="auto"/>
              <w:rPr>
                <w:rFonts w:ascii="Arial" w:eastAsia="Times New Roman" w:hAnsi="Arial" w:cs="Arial"/>
                <w:b/>
                <w:bCs/>
                <w:color w:val="404040" w:themeColor="text1" w:themeTint="BF"/>
                <w:sz w:val="16"/>
                <w:szCs w:val="16"/>
                <w:lang w:val="pt-PT" w:eastAsia="pl-PL"/>
              </w:rPr>
            </w:pPr>
            <w:r>
              <w:rPr>
                <w:rFonts w:ascii="Arial" w:eastAsia="Times New Roman" w:hAnsi="Arial" w:cs="Arial"/>
                <w:b/>
                <w:bCs/>
                <w:color w:val="404040"/>
                <w:sz w:val="14"/>
                <w:szCs w:val="14"/>
                <w:lang w:val="pt-PT" w:eastAsia="pl-PL"/>
              </w:rPr>
              <w:t xml:space="preserve">Milhões de zloty </w:t>
            </w:r>
            <w:proofErr w:type="gramStart"/>
            <w:r>
              <w:rPr>
                <w:rFonts w:ascii="Arial" w:eastAsia="Times New Roman" w:hAnsi="Arial" w:cs="Arial"/>
                <w:b/>
                <w:bCs/>
                <w:color w:val="404040"/>
                <w:sz w:val="14"/>
                <w:szCs w:val="14"/>
                <w:lang w:val="pt-PT" w:eastAsia="pl-PL"/>
              </w:rPr>
              <w:t>salvo</w:t>
            </w:r>
            <w:proofErr w:type="gramEnd"/>
            <w:r>
              <w:rPr>
                <w:rFonts w:ascii="Arial" w:eastAsia="Times New Roman" w:hAnsi="Arial" w:cs="Arial"/>
                <w:b/>
                <w:bCs/>
                <w:color w:val="404040"/>
                <w:sz w:val="14"/>
                <w:szCs w:val="14"/>
                <w:lang w:val="pt-PT" w:eastAsia="pl-PL"/>
              </w:rPr>
              <w:t xml:space="preserve"> indicação em contrário</w:t>
            </w:r>
          </w:p>
        </w:tc>
        <w:tc>
          <w:tcPr>
            <w:tcW w:w="1740" w:type="dxa"/>
            <w:tcBorders>
              <w:top w:val="nil"/>
              <w:left w:val="nil"/>
              <w:bottom w:val="nil"/>
              <w:right w:val="nil"/>
            </w:tcBorders>
            <w:shd w:val="clear" w:color="auto" w:fill="FFCB04"/>
            <w:vAlign w:val="center"/>
          </w:tcPr>
          <w:p w14:paraId="73BAFAB0" w14:textId="77777777" w:rsidR="00055D00" w:rsidRPr="00781F53" w:rsidRDefault="00055D00" w:rsidP="00781F53">
            <w:pPr>
              <w:widowControl/>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12M 2021</w:t>
            </w:r>
          </w:p>
        </w:tc>
        <w:tc>
          <w:tcPr>
            <w:tcW w:w="1680" w:type="dxa"/>
            <w:tcBorders>
              <w:top w:val="nil"/>
              <w:left w:val="nil"/>
              <w:bottom w:val="nil"/>
              <w:right w:val="nil"/>
            </w:tcBorders>
            <w:shd w:val="clear" w:color="auto" w:fill="FFCB04"/>
            <w:vAlign w:val="center"/>
          </w:tcPr>
          <w:p w14:paraId="67303150" w14:textId="77777777" w:rsidR="00055D00" w:rsidRPr="00781F53" w:rsidRDefault="00055D00" w:rsidP="00781F53">
            <w:pPr>
              <w:widowControl/>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12M 2020</w:t>
            </w:r>
          </w:p>
        </w:tc>
      </w:tr>
      <w:tr w:rsidR="005E45A7" w:rsidRPr="00781F53" w14:paraId="65DFF05C" w14:textId="77777777" w:rsidTr="4A94AE94">
        <w:trPr>
          <w:trHeight w:val="138"/>
        </w:trPr>
        <w:tc>
          <w:tcPr>
            <w:tcW w:w="5080" w:type="dxa"/>
            <w:tcBorders>
              <w:top w:val="nil"/>
              <w:left w:val="nil"/>
              <w:bottom w:val="nil"/>
              <w:right w:val="nil"/>
            </w:tcBorders>
            <w:shd w:val="clear" w:color="auto" w:fill="D9D9D9" w:themeFill="background1" w:themeFillShade="D9"/>
          </w:tcPr>
          <w:p w14:paraId="4F85F257" w14:textId="50CF9C78" w:rsidR="005E45A7" w:rsidRPr="00781F53" w:rsidRDefault="005E45A7"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Net </w:t>
            </w:r>
            <w:proofErr w:type="spellStart"/>
            <w:r w:rsidRPr="00781F53">
              <w:rPr>
                <w:rFonts w:ascii="Arial" w:eastAsia="Times New Roman" w:hAnsi="Arial" w:cs="Arial"/>
                <w:b/>
                <w:bCs/>
                <w:color w:val="404040" w:themeColor="text1" w:themeTint="BF"/>
                <w:sz w:val="16"/>
                <w:szCs w:val="16"/>
                <w:lang w:val="pt-PT" w:eastAsia="pl-PL"/>
              </w:rPr>
              <w:t>profit</w:t>
            </w:r>
            <w:proofErr w:type="spellEnd"/>
            <w:r w:rsidRPr="00781F53">
              <w:rPr>
                <w:rFonts w:ascii="Arial" w:eastAsia="Times New Roman" w:hAnsi="Arial" w:cs="Arial"/>
                <w:b/>
                <w:bCs/>
                <w:color w:val="404040" w:themeColor="text1" w:themeTint="BF"/>
                <w:sz w:val="16"/>
                <w:szCs w:val="16"/>
                <w:lang w:val="pt-PT" w:eastAsia="pl-PL"/>
              </w:rPr>
              <w:t xml:space="preserve"> </w:t>
            </w:r>
          </w:p>
        </w:tc>
        <w:tc>
          <w:tcPr>
            <w:tcW w:w="1740" w:type="dxa"/>
            <w:tcBorders>
              <w:top w:val="nil"/>
              <w:left w:val="nil"/>
              <w:bottom w:val="nil"/>
              <w:right w:val="nil"/>
            </w:tcBorders>
            <w:shd w:val="clear" w:color="auto" w:fill="D9D9D9" w:themeFill="background1" w:themeFillShade="D9"/>
          </w:tcPr>
          <w:p w14:paraId="60AEE412" w14:textId="26D7CCAD" w:rsidR="005E45A7" w:rsidRPr="00781F53" w:rsidRDefault="005E45A7"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491.6</w:t>
            </w:r>
          </w:p>
        </w:tc>
        <w:tc>
          <w:tcPr>
            <w:tcW w:w="1680" w:type="dxa"/>
            <w:tcBorders>
              <w:top w:val="nil"/>
              <w:left w:val="nil"/>
              <w:bottom w:val="nil"/>
              <w:right w:val="nil"/>
            </w:tcBorders>
            <w:shd w:val="clear" w:color="auto" w:fill="D9D9D9" w:themeFill="background1" w:themeFillShade="D9"/>
          </w:tcPr>
          <w:p w14:paraId="30707908" w14:textId="3FD3D952" w:rsidR="005E45A7" w:rsidRPr="00781F53" w:rsidRDefault="005E45A7"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350.2</w:t>
            </w:r>
          </w:p>
        </w:tc>
      </w:tr>
      <w:tr w:rsidR="005E45A7" w:rsidRPr="00781F53" w14:paraId="04C857D6" w14:textId="77777777" w:rsidTr="4A94AE94">
        <w:trPr>
          <w:trHeight w:val="138"/>
        </w:trPr>
        <w:tc>
          <w:tcPr>
            <w:tcW w:w="5080" w:type="dxa"/>
            <w:tcBorders>
              <w:top w:val="nil"/>
              <w:left w:val="nil"/>
              <w:bottom w:val="nil"/>
              <w:right w:val="nil"/>
            </w:tcBorders>
            <w:shd w:val="clear" w:color="auto" w:fill="D9D9D9" w:themeFill="background1" w:themeFillShade="D9"/>
          </w:tcPr>
          <w:p w14:paraId="7F3901EF" w14:textId="38744ECF" w:rsidR="005E45A7" w:rsidRPr="00781F53" w:rsidRDefault="005E45A7"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Adjustments</w:t>
            </w:r>
            <w:proofErr w:type="spellEnd"/>
            <w:r w:rsidRPr="00781F53">
              <w:rPr>
                <w:rFonts w:ascii="Arial" w:eastAsia="Times New Roman" w:hAnsi="Arial" w:cs="Arial"/>
                <w:b/>
                <w:bCs/>
                <w:color w:val="404040" w:themeColor="text1" w:themeTint="BF"/>
                <w:sz w:val="16"/>
                <w:szCs w:val="16"/>
                <w:lang w:val="pt-PT" w:eastAsia="pl-PL"/>
              </w:rPr>
              <w:t>:</w:t>
            </w:r>
          </w:p>
        </w:tc>
        <w:tc>
          <w:tcPr>
            <w:tcW w:w="1740" w:type="dxa"/>
            <w:tcBorders>
              <w:top w:val="nil"/>
              <w:left w:val="nil"/>
              <w:bottom w:val="nil"/>
              <w:right w:val="nil"/>
            </w:tcBorders>
            <w:shd w:val="clear" w:color="auto" w:fill="D9D9D9" w:themeFill="background1" w:themeFillShade="D9"/>
          </w:tcPr>
          <w:p w14:paraId="490C3CCA" w14:textId="3D44FBC7" w:rsidR="005E45A7" w:rsidRPr="00781F53" w:rsidRDefault="005E45A7"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1,015.6</w:t>
            </w:r>
          </w:p>
        </w:tc>
        <w:tc>
          <w:tcPr>
            <w:tcW w:w="1680" w:type="dxa"/>
            <w:tcBorders>
              <w:top w:val="nil"/>
              <w:left w:val="nil"/>
              <w:bottom w:val="nil"/>
              <w:right w:val="nil"/>
            </w:tcBorders>
            <w:shd w:val="clear" w:color="auto" w:fill="D9D9D9" w:themeFill="background1" w:themeFillShade="D9"/>
          </w:tcPr>
          <w:p w14:paraId="7584DABC" w14:textId="1A7BC4BB" w:rsidR="005E45A7" w:rsidRPr="00781F53" w:rsidRDefault="005E45A7"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641.8</w:t>
            </w:r>
          </w:p>
        </w:tc>
      </w:tr>
      <w:tr w:rsidR="005E45A7" w:rsidRPr="00781F53" w14:paraId="6A866706" w14:textId="77777777" w:rsidTr="4A94AE94">
        <w:trPr>
          <w:trHeight w:val="113"/>
        </w:trPr>
        <w:tc>
          <w:tcPr>
            <w:tcW w:w="5080" w:type="dxa"/>
            <w:tcBorders>
              <w:top w:val="nil"/>
              <w:left w:val="nil"/>
              <w:bottom w:val="nil"/>
              <w:right w:val="nil"/>
            </w:tcBorders>
            <w:shd w:val="clear" w:color="auto" w:fill="FFFFFF" w:themeFill="background1"/>
          </w:tcPr>
          <w:p w14:paraId="5B14EC10" w14:textId="112E4959"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Income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expense</w:t>
            </w:r>
            <w:proofErr w:type="spellEnd"/>
          </w:p>
        </w:tc>
        <w:tc>
          <w:tcPr>
            <w:tcW w:w="1740" w:type="dxa"/>
            <w:tcBorders>
              <w:top w:val="nil"/>
              <w:left w:val="nil"/>
              <w:bottom w:val="nil"/>
              <w:right w:val="nil"/>
            </w:tcBorders>
            <w:shd w:val="clear" w:color="auto" w:fill="FFFFFF" w:themeFill="background1"/>
          </w:tcPr>
          <w:p w14:paraId="4CB0F834" w14:textId="1936FFB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221.5</w:t>
            </w:r>
          </w:p>
        </w:tc>
        <w:tc>
          <w:tcPr>
            <w:tcW w:w="1680" w:type="dxa"/>
            <w:tcBorders>
              <w:top w:val="nil"/>
              <w:left w:val="nil"/>
              <w:bottom w:val="nil"/>
              <w:right w:val="nil"/>
            </w:tcBorders>
            <w:shd w:val="clear" w:color="auto" w:fill="FFFFFF" w:themeFill="background1"/>
          </w:tcPr>
          <w:p w14:paraId="3C2ECD4A" w14:textId="6DFC074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111.6</w:t>
            </w:r>
          </w:p>
        </w:tc>
      </w:tr>
      <w:tr w:rsidR="005E45A7" w:rsidRPr="00781F53" w14:paraId="299BC473" w14:textId="77777777" w:rsidTr="4A94AE94">
        <w:trPr>
          <w:trHeight w:val="103"/>
        </w:trPr>
        <w:tc>
          <w:tcPr>
            <w:tcW w:w="5080" w:type="dxa"/>
            <w:tcBorders>
              <w:top w:val="nil"/>
              <w:left w:val="nil"/>
              <w:bottom w:val="nil"/>
              <w:right w:val="nil"/>
            </w:tcBorders>
            <w:shd w:val="clear" w:color="auto" w:fill="FFFFFF" w:themeFill="background1"/>
          </w:tcPr>
          <w:p w14:paraId="412B3489" w14:textId="4FB60ED6"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Financial (</w:t>
            </w:r>
            <w:proofErr w:type="spellStart"/>
            <w:proofErr w:type="gramStart"/>
            <w:r w:rsidRPr="00781F53">
              <w:rPr>
                <w:rFonts w:ascii="Arial" w:eastAsia="Times New Roman" w:hAnsi="Arial" w:cs="Arial"/>
                <w:color w:val="404040" w:themeColor="text1" w:themeTint="BF"/>
                <w:sz w:val="16"/>
                <w:szCs w:val="16"/>
                <w:lang w:val="pt-PT" w:eastAsia="pl-PL"/>
              </w:rPr>
              <w:t>cost</w:t>
            </w:r>
            <w:proofErr w:type="spellEnd"/>
            <w:r w:rsidRPr="00781F53">
              <w:rPr>
                <w:rFonts w:ascii="Arial" w:eastAsia="Times New Roman" w:hAnsi="Arial" w:cs="Arial"/>
                <w:color w:val="404040" w:themeColor="text1" w:themeTint="BF"/>
                <w:sz w:val="16"/>
                <w:szCs w:val="16"/>
                <w:lang w:val="pt-PT" w:eastAsia="pl-PL"/>
              </w:rPr>
              <w:t>)</w:t>
            </w:r>
            <w:proofErr w:type="gram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income</w:t>
            </w:r>
            <w:proofErr w:type="spellEnd"/>
            <w:r w:rsidRPr="00781F53">
              <w:rPr>
                <w:rFonts w:ascii="Arial" w:eastAsia="Times New Roman" w:hAnsi="Arial" w:cs="Arial"/>
                <w:color w:val="404040" w:themeColor="text1" w:themeTint="BF"/>
                <w:sz w:val="16"/>
                <w:szCs w:val="16"/>
                <w:lang w:val="pt-PT" w:eastAsia="pl-PL"/>
              </w:rPr>
              <w:t xml:space="preserve"> </w:t>
            </w:r>
          </w:p>
        </w:tc>
        <w:tc>
          <w:tcPr>
            <w:tcW w:w="1740" w:type="dxa"/>
            <w:tcBorders>
              <w:top w:val="nil"/>
              <w:left w:val="nil"/>
              <w:bottom w:val="nil"/>
              <w:right w:val="nil"/>
            </w:tcBorders>
            <w:shd w:val="clear" w:color="auto" w:fill="FFFFFF" w:themeFill="background1"/>
          </w:tcPr>
          <w:p w14:paraId="318B4011" w14:textId="78AF66A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84.7</w:t>
            </w:r>
          </w:p>
        </w:tc>
        <w:tc>
          <w:tcPr>
            <w:tcW w:w="1680" w:type="dxa"/>
            <w:tcBorders>
              <w:top w:val="nil"/>
              <w:left w:val="nil"/>
              <w:bottom w:val="nil"/>
              <w:right w:val="nil"/>
            </w:tcBorders>
            <w:shd w:val="clear" w:color="auto" w:fill="FFFFFF" w:themeFill="background1"/>
          </w:tcPr>
          <w:p w14:paraId="46258CEA" w14:textId="7C015833"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173.7</w:t>
            </w:r>
          </w:p>
        </w:tc>
      </w:tr>
      <w:tr w:rsidR="005E45A7" w:rsidRPr="00781F53" w14:paraId="1108090E" w14:textId="77777777" w:rsidTr="4A94AE94">
        <w:trPr>
          <w:trHeight w:val="221"/>
        </w:trPr>
        <w:tc>
          <w:tcPr>
            <w:tcW w:w="5080" w:type="dxa"/>
            <w:tcBorders>
              <w:top w:val="nil"/>
              <w:left w:val="nil"/>
              <w:bottom w:val="nil"/>
              <w:right w:val="nil"/>
            </w:tcBorders>
            <w:shd w:val="clear" w:color="auto" w:fill="FFFFFF" w:themeFill="background1"/>
          </w:tcPr>
          <w:p w14:paraId="57CC48A4" w14:textId="1AD5D740"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Gain</w:t>
            </w:r>
            <w:proofErr w:type="spellEnd"/>
            <w:r w:rsidRPr="00781F53">
              <w:rPr>
                <w:rFonts w:ascii="Arial" w:eastAsia="Times New Roman" w:hAnsi="Arial" w:cs="Arial"/>
                <w:color w:val="404040" w:themeColor="text1" w:themeTint="BF"/>
                <w:sz w:val="16"/>
                <w:szCs w:val="16"/>
                <w:lang w:val="pt-PT" w:eastAsia="pl-PL"/>
              </w:rPr>
              <w:t xml:space="preserve"> / (</w:t>
            </w:r>
            <w:proofErr w:type="spellStart"/>
            <w:r w:rsidRPr="00781F53">
              <w:rPr>
                <w:rFonts w:ascii="Arial" w:eastAsia="Times New Roman" w:hAnsi="Arial" w:cs="Arial"/>
                <w:color w:val="404040" w:themeColor="text1" w:themeTint="BF"/>
                <w:sz w:val="16"/>
                <w:szCs w:val="16"/>
                <w:lang w:val="pt-PT" w:eastAsia="pl-PL"/>
              </w:rPr>
              <w:t>loss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sale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property</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plant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equipment</w:t>
            </w:r>
            <w:proofErr w:type="spellEnd"/>
          </w:p>
        </w:tc>
        <w:tc>
          <w:tcPr>
            <w:tcW w:w="1740" w:type="dxa"/>
            <w:tcBorders>
              <w:top w:val="nil"/>
              <w:left w:val="nil"/>
              <w:bottom w:val="nil"/>
              <w:right w:val="nil"/>
            </w:tcBorders>
            <w:shd w:val="clear" w:color="auto" w:fill="FFFFFF" w:themeFill="background1"/>
          </w:tcPr>
          <w:p w14:paraId="530BA5C0" w14:textId="1C515D1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(2.6)</w:t>
            </w:r>
          </w:p>
        </w:tc>
        <w:tc>
          <w:tcPr>
            <w:tcW w:w="1680" w:type="dxa"/>
            <w:tcBorders>
              <w:top w:val="nil"/>
              <w:left w:val="nil"/>
              <w:bottom w:val="nil"/>
              <w:right w:val="nil"/>
            </w:tcBorders>
            <w:shd w:val="clear" w:color="auto" w:fill="FFFFFF" w:themeFill="background1"/>
          </w:tcPr>
          <w:p w14:paraId="00E29F5B" w14:textId="6D4E1057"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(7.6)</w:t>
            </w:r>
          </w:p>
        </w:tc>
      </w:tr>
      <w:tr w:rsidR="005E45A7" w:rsidRPr="00781F53" w14:paraId="04DAFF65" w14:textId="77777777" w:rsidTr="4A94AE94">
        <w:trPr>
          <w:trHeight w:val="153"/>
        </w:trPr>
        <w:tc>
          <w:tcPr>
            <w:tcW w:w="5080" w:type="dxa"/>
            <w:tcBorders>
              <w:top w:val="nil"/>
              <w:left w:val="nil"/>
              <w:bottom w:val="nil"/>
              <w:right w:val="nil"/>
            </w:tcBorders>
            <w:shd w:val="clear" w:color="auto" w:fill="FFFFFF" w:themeFill="background1"/>
          </w:tcPr>
          <w:p w14:paraId="7C500AE4" w14:textId="34D82E89"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Depreciation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amortisation</w:t>
            </w:r>
            <w:proofErr w:type="spellEnd"/>
          </w:p>
        </w:tc>
        <w:tc>
          <w:tcPr>
            <w:tcW w:w="1740" w:type="dxa"/>
            <w:tcBorders>
              <w:top w:val="nil"/>
              <w:left w:val="nil"/>
              <w:bottom w:val="nil"/>
              <w:right w:val="nil"/>
            </w:tcBorders>
            <w:shd w:val="clear" w:color="auto" w:fill="FFFFFF" w:themeFill="background1"/>
          </w:tcPr>
          <w:p w14:paraId="25BEC9FF" w14:textId="5AA18666"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609.7</w:t>
            </w:r>
          </w:p>
        </w:tc>
        <w:tc>
          <w:tcPr>
            <w:tcW w:w="1680" w:type="dxa"/>
            <w:tcBorders>
              <w:top w:val="nil"/>
              <w:left w:val="nil"/>
              <w:bottom w:val="nil"/>
              <w:right w:val="nil"/>
            </w:tcBorders>
            <w:shd w:val="clear" w:color="auto" w:fill="FFFFFF" w:themeFill="background1"/>
          </w:tcPr>
          <w:p w14:paraId="235812EE" w14:textId="01ADEA39"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356.1</w:t>
            </w:r>
          </w:p>
        </w:tc>
      </w:tr>
      <w:tr w:rsidR="005E45A7" w:rsidRPr="00781F53" w14:paraId="3B048C22" w14:textId="77777777" w:rsidTr="4A94AE94">
        <w:trPr>
          <w:trHeight w:val="201"/>
        </w:trPr>
        <w:tc>
          <w:tcPr>
            <w:tcW w:w="5080" w:type="dxa"/>
            <w:tcBorders>
              <w:top w:val="nil"/>
              <w:left w:val="nil"/>
              <w:bottom w:val="nil"/>
              <w:right w:val="nil"/>
            </w:tcBorders>
            <w:shd w:val="clear" w:color="auto" w:fill="FFFFFF" w:themeFill="background1"/>
          </w:tcPr>
          <w:p w14:paraId="60846B61" w14:textId="740D2A13"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Impairment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losses</w:t>
            </w:r>
            <w:proofErr w:type="spellEnd"/>
          </w:p>
        </w:tc>
        <w:tc>
          <w:tcPr>
            <w:tcW w:w="1740" w:type="dxa"/>
            <w:tcBorders>
              <w:top w:val="nil"/>
              <w:left w:val="nil"/>
              <w:bottom w:val="nil"/>
              <w:right w:val="nil"/>
            </w:tcBorders>
            <w:shd w:val="clear" w:color="auto" w:fill="FFFFFF" w:themeFill="background1"/>
          </w:tcPr>
          <w:p w14:paraId="53185017" w14:textId="07FF4728"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7.1</w:t>
            </w:r>
          </w:p>
        </w:tc>
        <w:tc>
          <w:tcPr>
            <w:tcW w:w="1680" w:type="dxa"/>
            <w:tcBorders>
              <w:top w:val="nil"/>
              <w:left w:val="nil"/>
              <w:bottom w:val="nil"/>
              <w:right w:val="nil"/>
            </w:tcBorders>
            <w:shd w:val="clear" w:color="auto" w:fill="FFFFFF" w:themeFill="background1"/>
          </w:tcPr>
          <w:p w14:paraId="66C552C0" w14:textId="2FC2BA15"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(2.1)</w:t>
            </w:r>
          </w:p>
        </w:tc>
      </w:tr>
      <w:tr w:rsidR="005E45A7" w:rsidRPr="00781F53" w14:paraId="2B6E1915" w14:textId="77777777" w:rsidTr="4A94AE94">
        <w:trPr>
          <w:trHeight w:val="80"/>
        </w:trPr>
        <w:tc>
          <w:tcPr>
            <w:tcW w:w="5080" w:type="dxa"/>
            <w:tcBorders>
              <w:top w:val="nil"/>
              <w:left w:val="nil"/>
              <w:bottom w:val="nil"/>
              <w:right w:val="nil"/>
            </w:tcBorders>
            <w:shd w:val="clear" w:color="auto" w:fill="FFFFFF" w:themeFill="background1"/>
          </w:tcPr>
          <w:p w14:paraId="3880BBE9" w14:textId="54F0C8F4"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Grants</w:t>
            </w:r>
            <w:proofErr w:type="spellEnd"/>
          </w:p>
        </w:tc>
        <w:tc>
          <w:tcPr>
            <w:tcW w:w="1740" w:type="dxa"/>
            <w:tcBorders>
              <w:top w:val="nil"/>
              <w:left w:val="nil"/>
              <w:bottom w:val="nil"/>
              <w:right w:val="nil"/>
            </w:tcBorders>
            <w:shd w:val="clear" w:color="auto" w:fill="FFFFFF" w:themeFill="background1"/>
          </w:tcPr>
          <w:p w14:paraId="3DB59F07" w14:textId="675970B8"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2.7</w:t>
            </w:r>
          </w:p>
        </w:tc>
        <w:tc>
          <w:tcPr>
            <w:tcW w:w="1680" w:type="dxa"/>
            <w:tcBorders>
              <w:top w:val="nil"/>
              <w:left w:val="nil"/>
              <w:bottom w:val="nil"/>
              <w:right w:val="nil"/>
            </w:tcBorders>
            <w:shd w:val="clear" w:color="auto" w:fill="FFFFFF" w:themeFill="background1"/>
          </w:tcPr>
          <w:p w14:paraId="7BA2B105" w14:textId="6D463399"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5E45A7" w:rsidRPr="00781F53" w14:paraId="6F523235" w14:textId="77777777" w:rsidTr="4A94AE94">
        <w:trPr>
          <w:trHeight w:val="80"/>
        </w:trPr>
        <w:tc>
          <w:tcPr>
            <w:tcW w:w="5080" w:type="dxa"/>
            <w:tcBorders>
              <w:top w:val="nil"/>
              <w:left w:val="nil"/>
              <w:bottom w:val="nil"/>
              <w:right w:val="nil"/>
            </w:tcBorders>
            <w:shd w:val="clear" w:color="auto" w:fill="FFFFFF" w:themeFill="background1"/>
          </w:tcPr>
          <w:p w14:paraId="6A5BE4A3" w14:textId="1B6E84F3"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Group </w:t>
            </w:r>
            <w:proofErr w:type="spellStart"/>
            <w:r w:rsidRPr="00781F53">
              <w:rPr>
                <w:rFonts w:ascii="Arial" w:eastAsia="Times New Roman" w:hAnsi="Arial" w:cs="Arial"/>
                <w:color w:val="404040" w:themeColor="text1" w:themeTint="BF"/>
                <w:sz w:val="16"/>
                <w:szCs w:val="16"/>
                <w:lang w:val="pt-PT" w:eastAsia="pl-PL"/>
              </w:rPr>
              <w:t>settled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share-based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payments</w:t>
            </w:r>
            <w:proofErr w:type="spellEnd"/>
          </w:p>
        </w:tc>
        <w:tc>
          <w:tcPr>
            <w:tcW w:w="1740" w:type="dxa"/>
            <w:tcBorders>
              <w:top w:val="nil"/>
              <w:left w:val="nil"/>
              <w:bottom w:val="nil"/>
              <w:right w:val="nil"/>
            </w:tcBorders>
            <w:shd w:val="clear" w:color="auto" w:fill="FFFFFF" w:themeFill="background1"/>
          </w:tcPr>
          <w:p w14:paraId="625F3C65" w14:textId="393673A9"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92.5</w:t>
            </w:r>
          </w:p>
        </w:tc>
        <w:tc>
          <w:tcPr>
            <w:tcW w:w="1680" w:type="dxa"/>
            <w:tcBorders>
              <w:top w:val="nil"/>
              <w:left w:val="nil"/>
              <w:bottom w:val="nil"/>
              <w:right w:val="nil"/>
            </w:tcBorders>
            <w:shd w:val="clear" w:color="auto" w:fill="FFFFFF" w:themeFill="background1"/>
          </w:tcPr>
          <w:p w14:paraId="7A9CE034" w14:textId="78FFF6A1"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10.1</w:t>
            </w:r>
          </w:p>
        </w:tc>
      </w:tr>
      <w:tr w:rsidR="005E45A7" w:rsidRPr="00781F53" w14:paraId="22B16531" w14:textId="77777777" w:rsidTr="4A94AE94">
        <w:trPr>
          <w:trHeight w:val="178"/>
        </w:trPr>
        <w:tc>
          <w:tcPr>
            <w:tcW w:w="5080" w:type="dxa"/>
            <w:tcBorders>
              <w:top w:val="nil"/>
              <w:left w:val="nil"/>
              <w:bottom w:val="nil"/>
              <w:right w:val="nil"/>
            </w:tcBorders>
            <w:shd w:val="clear" w:color="auto" w:fill="D9D9D9" w:themeFill="background1" w:themeFillShade="D9"/>
          </w:tcPr>
          <w:p w14:paraId="39C515AB" w14:textId="190ECE84" w:rsidR="005E45A7" w:rsidRPr="00781F53" w:rsidRDefault="005E45A7" w:rsidP="00781F53">
            <w:pPr>
              <w:spacing w:line="276" w:lineRule="auto"/>
              <w:rPr>
                <w:rFonts w:ascii="Arial" w:eastAsia="Times New Roman" w:hAnsi="Arial" w:cs="Arial"/>
                <w:b/>
                <w:bCs/>
                <w:color w:val="404040" w:themeColor="text1" w:themeTint="BF"/>
                <w:sz w:val="16"/>
                <w:szCs w:val="16"/>
                <w:lang w:val="pt-PT" w:eastAsia="pl-PL"/>
              </w:rPr>
            </w:pPr>
            <w:proofErr w:type="spellStart"/>
            <w:r w:rsidRPr="00781F53">
              <w:rPr>
                <w:rFonts w:ascii="Arial" w:eastAsia="Times New Roman" w:hAnsi="Arial" w:cs="Arial"/>
                <w:b/>
                <w:bCs/>
                <w:color w:val="404040" w:themeColor="text1" w:themeTint="BF"/>
                <w:sz w:val="16"/>
                <w:szCs w:val="16"/>
                <w:lang w:val="pt-PT" w:eastAsia="pl-PL"/>
              </w:rPr>
              <w:t>Changes</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in</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working</w:t>
            </w:r>
            <w:proofErr w:type="spellEnd"/>
            <w:r w:rsidRPr="00781F53">
              <w:rPr>
                <w:rFonts w:ascii="Arial" w:eastAsia="Times New Roman" w:hAnsi="Arial" w:cs="Arial"/>
                <w:b/>
                <w:bCs/>
                <w:color w:val="404040" w:themeColor="text1" w:themeTint="BF"/>
                <w:sz w:val="16"/>
                <w:szCs w:val="16"/>
                <w:lang w:val="pt-PT" w:eastAsia="pl-PL"/>
              </w:rPr>
              <w:t xml:space="preserve"> capital:</w:t>
            </w:r>
          </w:p>
        </w:tc>
        <w:tc>
          <w:tcPr>
            <w:tcW w:w="1740" w:type="dxa"/>
            <w:tcBorders>
              <w:top w:val="nil"/>
              <w:left w:val="nil"/>
              <w:bottom w:val="nil"/>
              <w:right w:val="nil"/>
            </w:tcBorders>
            <w:shd w:val="clear" w:color="auto" w:fill="D9D9D9" w:themeFill="background1" w:themeFillShade="D9"/>
          </w:tcPr>
          <w:p w14:paraId="58DD0F32" w14:textId="1665C92D" w:rsidR="005E45A7" w:rsidRPr="00781F53" w:rsidRDefault="005E45A7"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(14.2)</w:t>
            </w:r>
          </w:p>
        </w:tc>
        <w:tc>
          <w:tcPr>
            <w:tcW w:w="1680" w:type="dxa"/>
            <w:tcBorders>
              <w:top w:val="nil"/>
              <w:left w:val="nil"/>
              <w:bottom w:val="nil"/>
              <w:right w:val="nil"/>
            </w:tcBorders>
            <w:shd w:val="clear" w:color="auto" w:fill="D9D9D9" w:themeFill="background1" w:themeFillShade="D9"/>
          </w:tcPr>
          <w:p w14:paraId="339CD558" w14:textId="091E0E20" w:rsidR="005E45A7" w:rsidRPr="00781F53" w:rsidRDefault="005E45A7"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(73.1)</w:t>
            </w:r>
          </w:p>
        </w:tc>
      </w:tr>
      <w:tr w:rsidR="005E45A7" w:rsidRPr="00781F53" w14:paraId="0D66B219" w14:textId="77777777" w:rsidTr="4A94AE94">
        <w:trPr>
          <w:trHeight w:val="127"/>
        </w:trPr>
        <w:tc>
          <w:tcPr>
            <w:tcW w:w="5080" w:type="dxa"/>
            <w:tcBorders>
              <w:top w:val="nil"/>
              <w:left w:val="nil"/>
              <w:bottom w:val="nil"/>
              <w:right w:val="nil"/>
            </w:tcBorders>
            <w:shd w:val="clear" w:color="auto" w:fill="FFFFFF" w:themeFill="background1"/>
          </w:tcPr>
          <w:p w14:paraId="0A83C293" w14:textId="55966836"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Trade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receivables</w:t>
            </w:r>
            <w:proofErr w:type="spellEnd"/>
          </w:p>
        </w:tc>
        <w:tc>
          <w:tcPr>
            <w:tcW w:w="1740" w:type="dxa"/>
            <w:tcBorders>
              <w:top w:val="nil"/>
              <w:left w:val="nil"/>
              <w:bottom w:val="nil"/>
              <w:right w:val="nil"/>
            </w:tcBorders>
            <w:shd w:val="clear" w:color="auto" w:fill="FFFFFF" w:themeFill="background1"/>
          </w:tcPr>
          <w:p w14:paraId="7BCC3699" w14:textId="6214FE0C"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(166.2)</w:t>
            </w:r>
          </w:p>
        </w:tc>
        <w:tc>
          <w:tcPr>
            <w:tcW w:w="1680" w:type="dxa"/>
            <w:tcBorders>
              <w:top w:val="nil"/>
              <w:left w:val="nil"/>
              <w:bottom w:val="nil"/>
              <w:right w:val="nil"/>
            </w:tcBorders>
            <w:shd w:val="clear" w:color="auto" w:fill="FFFFFF" w:themeFill="background1"/>
          </w:tcPr>
          <w:p w14:paraId="64578A6F" w14:textId="22033B9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(228.0)</w:t>
            </w:r>
          </w:p>
        </w:tc>
      </w:tr>
      <w:tr w:rsidR="005E45A7" w:rsidRPr="00781F53" w14:paraId="081E1D25" w14:textId="77777777" w:rsidTr="4A94AE94">
        <w:trPr>
          <w:trHeight w:val="127"/>
        </w:trPr>
        <w:tc>
          <w:tcPr>
            <w:tcW w:w="5080" w:type="dxa"/>
            <w:tcBorders>
              <w:top w:val="nil"/>
              <w:left w:val="nil"/>
              <w:bottom w:val="nil"/>
              <w:right w:val="nil"/>
            </w:tcBorders>
            <w:shd w:val="clear" w:color="auto" w:fill="FFFFFF" w:themeFill="background1"/>
          </w:tcPr>
          <w:p w14:paraId="37CB2088" w14:textId="35D78415"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Inventories</w:t>
            </w:r>
            <w:proofErr w:type="spellEnd"/>
            <w:r w:rsidRPr="00781F53">
              <w:rPr>
                <w:rFonts w:ascii="Arial" w:eastAsia="Times New Roman" w:hAnsi="Arial" w:cs="Arial"/>
                <w:color w:val="404040" w:themeColor="text1" w:themeTint="BF"/>
                <w:sz w:val="16"/>
                <w:szCs w:val="16"/>
                <w:lang w:val="pt-PT" w:eastAsia="pl-PL"/>
              </w:rPr>
              <w:t xml:space="preserve"> </w:t>
            </w:r>
          </w:p>
        </w:tc>
        <w:tc>
          <w:tcPr>
            <w:tcW w:w="1740" w:type="dxa"/>
            <w:tcBorders>
              <w:top w:val="nil"/>
              <w:left w:val="nil"/>
              <w:bottom w:val="nil"/>
              <w:right w:val="nil"/>
            </w:tcBorders>
            <w:shd w:val="clear" w:color="auto" w:fill="FFFFFF" w:themeFill="background1"/>
          </w:tcPr>
          <w:p w14:paraId="06ABC4C5" w14:textId="2BFAB0B8"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(5.1)</w:t>
            </w:r>
          </w:p>
        </w:tc>
        <w:tc>
          <w:tcPr>
            <w:tcW w:w="1680" w:type="dxa"/>
            <w:tcBorders>
              <w:top w:val="nil"/>
              <w:left w:val="nil"/>
              <w:bottom w:val="nil"/>
              <w:right w:val="nil"/>
            </w:tcBorders>
            <w:shd w:val="clear" w:color="auto" w:fill="FFFFFF" w:themeFill="background1"/>
          </w:tcPr>
          <w:p w14:paraId="06A8785C" w14:textId="6274D055"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(3.5)</w:t>
            </w:r>
          </w:p>
        </w:tc>
      </w:tr>
      <w:tr w:rsidR="005E45A7" w:rsidRPr="00781F53" w14:paraId="5428730F" w14:textId="77777777" w:rsidTr="4A94AE94">
        <w:trPr>
          <w:trHeight w:val="127"/>
        </w:trPr>
        <w:tc>
          <w:tcPr>
            <w:tcW w:w="5080" w:type="dxa"/>
            <w:tcBorders>
              <w:top w:val="nil"/>
              <w:left w:val="nil"/>
              <w:bottom w:val="nil"/>
              <w:right w:val="nil"/>
            </w:tcBorders>
            <w:shd w:val="clear" w:color="auto" w:fill="FFFFFF" w:themeFill="background1"/>
          </w:tcPr>
          <w:p w14:paraId="0650BF01" w14:textId="7FC1FBAE"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62BC436E" w14:textId="0C87933F"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(6.5)</w:t>
            </w:r>
          </w:p>
        </w:tc>
        <w:tc>
          <w:tcPr>
            <w:tcW w:w="1680" w:type="dxa"/>
            <w:tcBorders>
              <w:top w:val="nil"/>
              <w:left w:val="nil"/>
              <w:bottom w:val="nil"/>
              <w:right w:val="nil"/>
            </w:tcBorders>
            <w:shd w:val="clear" w:color="auto" w:fill="FFFFFF" w:themeFill="background1"/>
          </w:tcPr>
          <w:p w14:paraId="6B73CA65" w14:textId="55D9279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(2.5)</w:t>
            </w:r>
          </w:p>
        </w:tc>
      </w:tr>
      <w:tr w:rsidR="005E45A7" w:rsidRPr="00781F53" w14:paraId="03C5071E" w14:textId="77777777" w:rsidTr="4A94AE94">
        <w:trPr>
          <w:trHeight w:val="127"/>
        </w:trPr>
        <w:tc>
          <w:tcPr>
            <w:tcW w:w="5080" w:type="dxa"/>
            <w:tcBorders>
              <w:top w:val="nil"/>
              <w:left w:val="nil"/>
              <w:bottom w:val="nil"/>
              <w:right w:val="nil"/>
            </w:tcBorders>
            <w:shd w:val="clear" w:color="auto" w:fill="FFFFFF" w:themeFill="background1"/>
          </w:tcPr>
          <w:p w14:paraId="2ED2F5B8" w14:textId="701A6143"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Trade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payables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payables</w:t>
            </w:r>
            <w:proofErr w:type="spellEnd"/>
          </w:p>
        </w:tc>
        <w:tc>
          <w:tcPr>
            <w:tcW w:w="1740" w:type="dxa"/>
            <w:tcBorders>
              <w:top w:val="nil"/>
              <w:left w:val="nil"/>
              <w:bottom w:val="nil"/>
              <w:right w:val="nil"/>
            </w:tcBorders>
            <w:shd w:val="clear" w:color="auto" w:fill="FFFFFF" w:themeFill="background1"/>
          </w:tcPr>
          <w:p w14:paraId="6E296391" w14:textId="0EA56F55"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164.2</w:t>
            </w:r>
          </w:p>
        </w:tc>
        <w:tc>
          <w:tcPr>
            <w:tcW w:w="1680" w:type="dxa"/>
            <w:tcBorders>
              <w:top w:val="nil"/>
              <w:left w:val="nil"/>
              <w:bottom w:val="nil"/>
              <w:right w:val="nil"/>
            </w:tcBorders>
            <w:shd w:val="clear" w:color="auto" w:fill="FFFFFF" w:themeFill="background1"/>
          </w:tcPr>
          <w:p w14:paraId="44DD95B5" w14:textId="7BACD8A2"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45.6</w:t>
            </w:r>
          </w:p>
        </w:tc>
      </w:tr>
      <w:tr w:rsidR="005E45A7" w:rsidRPr="00781F53" w14:paraId="259770DB" w14:textId="77777777" w:rsidTr="4A94AE94">
        <w:trPr>
          <w:trHeight w:val="86"/>
        </w:trPr>
        <w:tc>
          <w:tcPr>
            <w:tcW w:w="5080" w:type="dxa"/>
            <w:tcBorders>
              <w:top w:val="nil"/>
              <w:left w:val="nil"/>
              <w:bottom w:val="nil"/>
              <w:right w:val="nil"/>
            </w:tcBorders>
            <w:shd w:val="clear" w:color="auto" w:fill="FFFFFF" w:themeFill="background1"/>
          </w:tcPr>
          <w:p w14:paraId="38AEAC84" w14:textId="002FAAF1"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Employee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benefits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provisions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contract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201D1AA6" w14:textId="680BB636"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(2.1)</w:t>
            </w:r>
          </w:p>
        </w:tc>
        <w:tc>
          <w:tcPr>
            <w:tcW w:w="1680" w:type="dxa"/>
            <w:tcBorders>
              <w:top w:val="nil"/>
              <w:left w:val="nil"/>
              <w:bottom w:val="nil"/>
              <w:right w:val="nil"/>
            </w:tcBorders>
            <w:shd w:val="clear" w:color="auto" w:fill="FFFFFF" w:themeFill="background1"/>
          </w:tcPr>
          <w:p w14:paraId="17940BDA" w14:textId="30FFA701"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25.9</w:t>
            </w:r>
          </w:p>
        </w:tc>
      </w:tr>
      <w:tr w:rsidR="005E45A7" w:rsidRPr="00781F53" w14:paraId="216C1849" w14:textId="77777777" w:rsidTr="4A94AE94">
        <w:trPr>
          <w:trHeight w:val="86"/>
        </w:trPr>
        <w:tc>
          <w:tcPr>
            <w:tcW w:w="5080" w:type="dxa"/>
            <w:tcBorders>
              <w:top w:val="nil"/>
              <w:left w:val="nil"/>
              <w:bottom w:val="nil"/>
              <w:right w:val="nil"/>
            </w:tcBorders>
            <w:shd w:val="clear" w:color="auto" w:fill="FFFFFF" w:themeFill="background1"/>
          </w:tcPr>
          <w:p w14:paraId="25AA4EFE" w14:textId="32522A3A" w:rsidR="005E45A7" w:rsidRPr="00781F53" w:rsidRDefault="005E45A7"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Other</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liabilities</w:t>
            </w:r>
            <w:proofErr w:type="spellEnd"/>
          </w:p>
        </w:tc>
        <w:tc>
          <w:tcPr>
            <w:tcW w:w="1740" w:type="dxa"/>
            <w:tcBorders>
              <w:top w:val="nil"/>
              <w:left w:val="nil"/>
              <w:bottom w:val="nil"/>
              <w:right w:val="nil"/>
            </w:tcBorders>
            <w:shd w:val="clear" w:color="auto" w:fill="FFFFFF" w:themeFill="background1"/>
          </w:tcPr>
          <w:p w14:paraId="11A53EFE" w14:textId="152AAE91"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1.5</w:t>
            </w:r>
          </w:p>
        </w:tc>
        <w:tc>
          <w:tcPr>
            <w:tcW w:w="1680" w:type="dxa"/>
            <w:tcBorders>
              <w:top w:val="nil"/>
              <w:left w:val="nil"/>
              <w:bottom w:val="nil"/>
              <w:right w:val="nil"/>
            </w:tcBorders>
            <w:shd w:val="clear" w:color="auto" w:fill="FFFFFF" w:themeFill="background1"/>
          </w:tcPr>
          <w:p w14:paraId="0B6E4C27" w14:textId="5AB6976C" w:rsidR="005E45A7" w:rsidRPr="00781F53" w:rsidRDefault="005E45A7"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89.4</w:t>
            </w:r>
          </w:p>
        </w:tc>
      </w:tr>
      <w:tr w:rsidR="00A37E56" w:rsidRPr="00781F53" w14:paraId="03EF5A96" w14:textId="77777777" w:rsidTr="4A94AE94">
        <w:trPr>
          <w:trHeight w:val="175"/>
        </w:trPr>
        <w:tc>
          <w:tcPr>
            <w:tcW w:w="5080" w:type="dxa"/>
            <w:tcBorders>
              <w:top w:val="nil"/>
              <w:left w:val="nil"/>
              <w:bottom w:val="nil"/>
              <w:right w:val="nil"/>
            </w:tcBorders>
            <w:shd w:val="clear" w:color="auto" w:fill="FFC000" w:themeFill="accent4"/>
          </w:tcPr>
          <w:p w14:paraId="3DD1400D" w14:textId="14E7CCAA" w:rsidR="00A37E56" w:rsidRPr="00781F53" w:rsidRDefault="00A37E56" w:rsidP="00781F53">
            <w:pPr>
              <w:spacing w:line="276" w:lineRule="auto"/>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Cash </w:t>
            </w:r>
            <w:proofErr w:type="spellStart"/>
            <w:r w:rsidRPr="00781F53">
              <w:rPr>
                <w:rFonts w:ascii="Arial" w:eastAsia="Times New Roman" w:hAnsi="Arial" w:cs="Arial"/>
                <w:b/>
                <w:bCs/>
                <w:color w:val="404040" w:themeColor="text1" w:themeTint="BF"/>
                <w:sz w:val="16"/>
                <w:szCs w:val="16"/>
                <w:lang w:val="pt-PT" w:eastAsia="pl-PL"/>
              </w:rPr>
              <w:t>generated</w:t>
            </w:r>
            <w:proofErr w:type="spellEnd"/>
            <w:r w:rsidRPr="00781F53">
              <w:rPr>
                <w:rFonts w:ascii="Arial" w:eastAsia="Times New Roman" w:hAnsi="Arial" w:cs="Arial"/>
                <w:b/>
                <w:bCs/>
                <w:color w:val="404040" w:themeColor="text1" w:themeTint="BF"/>
                <w:sz w:val="16"/>
                <w:szCs w:val="16"/>
                <w:lang w:val="pt-PT" w:eastAsia="pl-PL"/>
              </w:rPr>
              <w:t xml:space="preserve"> from </w:t>
            </w:r>
            <w:proofErr w:type="spellStart"/>
            <w:r w:rsidRPr="00781F53">
              <w:rPr>
                <w:rFonts w:ascii="Arial" w:eastAsia="Times New Roman" w:hAnsi="Arial" w:cs="Arial"/>
                <w:b/>
                <w:bCs/>
                <w:color w:val="404040" w:themeColor="text1" w:themeTint="BF"/>
                <w:sz w:val="16"/>
                <w:szCs w:val="16"/>
                <w:lang w:val="pt-PT" w:eastAsia="pl-PL"/>
              </w:rPr>
              <w:t>operating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FFC000" w:themeFill="accent4"/>
          </w:tcPr>
          <w:p w14:paraId="1F92F8EF" w14:textId="60FB62F4"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1,493.0</w:t>
            </w:r>
          </w:p>
        </w:tc>
        <w:tc>
          <w:tcPr>
            <w:tcW w:w="1680" w:type="dxa"/>
            <w:tcBorders>
              <w:top w:val="nil"/>
              <w:left w:val="nil"/>
              <w:bottom w:val="nil"/>
              <w:right w:val="nil"/>
            </w:tcBorders>
            <w:shd w:val="clear" w:color="auto" w:fill="FFC000" w:themeFill="accent4"/>
          </w:tcPr>
          <w:p w14:paraId="6464A3DE" w14:textId="2CA57310"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918.9</w:t>
            </w:r>
          </w:p>
        </w:tc>
      </w:tr>
      <w:tr w:rsidR="00A37E56" w:rsidRPr="00781F53" w14:paraId="5990D7E6" w14:textId="77777777" w:rsidTr="4A94AE94">
        <w:trPr>
          <w:trHeight w:val="127"/>
        </w:trPr>
        <w:tc>
          <w:tcPr>
            <w:tcW w:w="5080" w:type="dxa"/>
            <w:tcBorders>
              <w:top w:val="nil"/>
              <w:left w:val="nil"/>
              <w:bottom w:val="nil"/>
              <w:right w:val="nil"/>
            </w:tcBorders>
            <w:shd w:val="clear" w:color="auto" w:fill="FFFFFF" w:themeFill="background1"/>
          </w:tcPr>
          <w:p w14:paraId="48EE0748" w14:textId="33598C08"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Interest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commissions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paid</w:t>
            </w:r>
            <w:proofErr w:type="spellEnd"/>
          </w:p>
        </w:tc>
        <w:tc>
          <w:tcPr>
            <w:tcW w:w="1740" w:type="dxa"/>
            <w:tcBorders>
              <w:top w:val="nil"/>
              <w:left w:val="nil"/>
              <w:bottom w:val="nil"/>
              <w:right w:val="nil"/>
            </w:tcBorders>
            <w:shd w:val="clear" w:color="auto" w:fill="FFFFFF" w:themeFill="background1"/>
          </w:tcPr>
          <w:p w14:paraId="6E9A31EA" w14:textId="65130BF0"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(150.0)</w:t>
            </w:r>
          </w:p>
        </w:tc>
        <w:tc>
          <w:tcPr>
            <w:tcW w:w="1680" w:type="dxa"/>
            <w:tcBorders>
              <w:top w:val="nil"/>
              <w:left w:val="nil"/>
              <w:bottom w:val="nil"/>
              <w:right w:val="nil"/>
            </w:tcBorders>
            <w:shd w:val="clear" w:color="auto" w:fill="FFFFFF" w:themeFill="background1"/>
          </w:tcPr>
          <w:p w14:paraId="2C79D944" w14:textId="5EBF41BA"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(74.7)</w:t>
            </w:r>
          </w:p>
        </w:tc>
      </w:tr>
      <w:tr w:rsidR="00A37E56" w:rsidRPr="00781F53" w14:paraId="2455EC8B" w14:textId="77777777" w:rsidTr="4A94AE94">
        <w:trPr>
          <w:trHeight w:val="127"/>
        </w:trPr>
        <w:tc>
          <w:tcPr>
            <w:tcW w:w="5080" w:type="dxa"/>
            <w:tcBorders>
              <w:top w:val="nil"/>
              <w:left w:val="nil"/>
              <w:bottom w:val="nil"/>
              <w:right w:val="nil"/>
            </w:tcBorders>
            <w:shd w:val="clear" w:color="auto" w:fill="FFFFFF" w:themeFill="background1"/>
          </w:tcPr>
          <w:p w14:paraId="24B7765C" w14:textId="1AB8897E"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Income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tax</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paid</w:t>
            </w:r>
            <w:proofErr w:type="spellEnd"/>
          </w:p>
        </w:tc>
        <w:tc>
          <w:tcPr>
            <w:tcW w:w="1740" w:type="dxa"/>
            <w:tcBorders>
              <w:top w:val="nil"/>
              <w:left w:val="nil"/>
              <w:bottom w:val="nil"/>
              <w:right w:val="nil"/>
            </w:tcBorders>
            <w:shd w:val="clear" w:color="auto" w:fill="FFFFFF" w:themeFill="background1"/>
          </w:tcPr>
          <w:p w14:paraId="2D447F2A" w14:textId="1506974E"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(243.0)</w:t>
            </w:r>
          </w:p>
        </w:tc>
        <w:tc>
          <w:tcPr>
            <w:tcW w:w="1680" w:type="dxa"/>
            <w:tcBorders>
              <w:top w:val="nil"/>
              <w:left w:val="nil"/>
              <w:bottom w:val="nil"/>
              <w:right w:val="nil"/>
            </w:tcBorders>
            <w:shd w:val="clear" w:color="auto" w:fill="FFFFFF" w:themeFill="background1"/>
          </w:tcPr>
          <w:p w14:paraId="37CF3CA2" w14:textId="1A44C488"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(104.0)</w:t>
            </w:r>
          </w:p>
        </w:tc>
      </w:tr>
      <w:tr w:rsidR="00A37E56" w:rsidRPr="00781F53" w14:paraId="3A305780" w14:textId="77777777" w:rsidTr="4A94AE94">
        <w:trPr>
          <w:trHeight w:val="175"/>
        </w:trPr>
        <w:tc>
          <w:tcPr>
            <w:tcW w:w="5080" w:type="dxa"/>
            <w:tcBorders>
              <w:top w:val="nil"/>
              <w:left w:val="nil"/>
              <w:bottom w:val="nil"/>
              <w:right w:val="nil"/>
            </w:tcBorders>
            <w:shd w:val="clear" w:color="auto" w:fill="FFC000" w:themeFill="accent4"/>
          </w:tcPr>
          <w:p w14:paraId="63DE5F55" w14:textId="6E8EA1E1" w:rsidR="00A37E56" w:rsidRPr="00781F53" w:rsidRDefault="00A37E56" w:rsidP="00781F53">
            <w:pPr>
              <w:spacing w:line="276" w:lineRule="auto"/>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Net cash from </w:t>
            </w:r>
            <w:proofErr w:type="spellStart"/>
            <w:r w:rsidRPr="00781F53">
              <w:rPr>
                <w:rFonts w:ascii="Arial" w:eastAsia="Times New Roman" w:hAnsi="Arial" w:cs="Arial"/>
                <w:b/>
                <w:bCs/>
                <w:color w:val="404040" w:themeColor="text1" w:themeTint="BF"/>
                <w:sz w:val="16"/>
                <w:szCs w:val="16"/>
                <w:lang w:val="pt-PT" w:eastAsia="pl-PL"/>
              </w:rPr>
              <w:t>operating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FFC000" w:themeFill="accent4"/>
          </w:tcPr>
          <w:p w14:paraId="64FC1BAA" w14:textId="2266A7BC"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1,100.0</w:t>
            </w:r>
          </w:p>
        </w:tc>
        <w:tc>
          <w:tcPr>
            <w:tcW w:w="1680" w:type="dxa"/>
            <w:tcBorders>
              <w:top w:val="nil"/>
              <w:left w:val="nil"/>
              <w:bottom w:val="nil"/>
              <w:right w:val="nil"/>
            </w:tcBorders>
            <w:shd w:val="clear" w:color="auto" w:fill="FFC000" w:themeFill="accent4"/>
          </w:tcPr>
          <w:p w14:paraId="36BE3627" w14:textId="6FD65607"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740.2</w:t>
            </w:r>
          </w:p>
        </w:tc>
      </w:tr>
      <w:tr w:rsidR="00A37E56" w:rsidRPr="00781F53" w14:paraId="271E4A20" w14:textId="77777777" w:rsidTr="4A94AE94">
        <w:trPr>
          <w:trHeight w:val="178"/>
        </w:trPr>
        <w:tc>
          <w:tcPr>
            <w:tcW w:w="5080" w:type="dxa"/>
            <w:tcBorders>
              <w:top w:val="nil"/>
              <w:left w:val="nil"/>
              <w:bottom w:val="nil"/>
              <w:right w:val="nil"/>
            </w:tcBorders>
            <w:shd w:val="clear" w:color="auto" w:fill="D9D9D9" w:themeFill="background1" w:themeFillShade="D9"/>
          </w:tcPr>
          <w:p w14:paraId="0E06108E" w14:textId="3C0CD08C" w:rsidR="00A37E56" w:rsidRPr="00781F53" w:rsidRDefault="00A37E56" w:rsidP="00781F53">
            <w:pPr>
              <w:spacing w:line="276" w:lineRule="auto"/>
              <w:rPr>
                <w:rFonts w:ascii="Arial" w:eastAsia="Times New Roman" w:hAnsi="Arial" w:cs="Arial"/>
                <w:b/>
                <w:bCs/>
                <w:color w:val="404040" w:themeColor="text1" w:themeTint="BF"/>
                <w:sz w:val="16"/>
                <w:szCs w:val="16"/>
                <w:lang w:val="pt-PT" w:eastAsia="pl-PL"/>
              </w:rPr>
            </w:pPr>
            <w:bookmarkStart w:id="2" w:name="_Hlk99451633"/>
            <w:r w:rsidRPr="00781F53">
              <w:rPr>
                <w:rFonts w:ascii="Arial" w:eastAsia="Times New Roman" w:hAnsi="Arial" w:cs="Arial"/>
                <w:b/>
                <w:bCs/>
                <w:color w:val="404040" w:themeColor="text1" w:themeTint="BF"/>
                <w:sz w:val="16"/>
                <w:szCs w:val="16"/>
                <w:lang w:val="pt-PT" w:eastAsia="pl-PL"/>
              </w:rPr>
              <w:t xml:space="preserve">Cash </w:t>
            </w:r>
            <w:proofErr w:type="spellStart"/>
            <w:r w:rsidRPr="00781F53">
              <w:rPr>
                <w:rFonts w:ascii="Arial" w:eastAsia="Times New Roman" w:hAnsi="Arial" w:cs="Arial"/>
                <w:b/>
                <w:bCs/>
                <w:color w:val="404040" w:themeColor="text1" w:themeTint="BF"/>
                <w:sz w:val="16"/>
                <w:szCs w:val="16"/>
                <w:lang w:val="pt-PT" w:eastAsia="pl-PL"/>
              </w:rPr>
              <w:t>flows</w:t>
            </w:r>
            <w:proofErr w:type="spellEnd"/>
            <w:r w:rsidRPr="00781F53">
              <w:rPr>
                <w:rFonts w:ascii="Arial" w:eastAsia="Times New Roman" w:hAnsi="Arial" w:cs="Arial"/>
                <w:b/>
                <w:bCs/>
                <w:color w:val="404040" w:themeColor="text1" w:themeTint="BF"/>
                <w:sz w:val="16"/>
                <w:szCs w:val="16"/>
                <w:lang w:val="pt-PT" w:eastAsia="pl-PL"/>
              </w:rPr>
              <w:t xml:space="preserve"> from </w:t>
            </w:r>
            <w:proofErr w:type="spellStart"/>
            <w:r w:rsidRPr="00781F53">
              <w:rPr>
                <w:rFonts w:ascii="Arial" w:eastAsia="Times New Roman" w:hAnsi="Arial" w:cs="Arial"/>
                <w:b/>
                <w:bCs/>
                <w:color w:val="404040" w:themeColor="text1" w:themeTint="BF"/>
                <w:sz w:val="16"/>
                <w:szCs w:val="16"/>
                <w:lang w:val="pt-PT" w:eastAsia="pl-PL"/>
              </w:rPr>
              <w:t>investing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D9D9D9" w:themeFill="background1" w:themeFillShade="D9"/>
          </w:tcPr>
          <w:p w14:paraId="19B5C72B" w14:textId="52A96586"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p>
        </w:tc>
        <w:tc>
          <w:tcPr>
            <w:tcW w:w="1680" w:type="dxa"/>
            <w:tcBorders>
              <w:top w:val="nil"/>
              <w:left w:val="nil"/>
              <w:bottom w:val="nil"/>
              <w:right w:val="nil"/>
            </w:tcBorders>
            <w:shd w:val="clear" w:color="auto" w:fill="D9D9D9" w:themeFill="background1" w:themeFillShade="D9"/>
          </w:tcPr>
          <w:p w14:paraId="6DA67D35" w14:textId="47A89747" w:rsidR="00A37E56" w:rsidRPr="00781F53" w:rsidRDefault="00A37E56" w:rsidP="00781F53">
            <w:pPr>
              <w:spacing w:line="276" w:lineRule="auto"/>
              <w:jc w:val="center"/>
              <w:rPr>
                <w:rFonts w:ascii="Arial" w:hAnsi="Arial" w:cs="Arial"/>
                <w:b/>
                <w:color w:val="404040" w:themeColor="text1" w:themeTint="BF"/>
                <w:sz w:val="16"/>
                <w:szCs w:val="16"/>
                <w:lang w:val="pt-PT" w:eastAsia="pl-PL"/>
              </w:rPr>
            </w:pPr>
          </w:p>
        </w:tc>
      </w:tr>
      <w:tr w:rsidR="00A37E56" w:rsidRPr="00781F53" w14:paraId="25F624FB" w14:textId="77777777" w:rsidTr="4A94AE94">
        <w:trPr>
          <w:trHeight w:val="127"/>
        </w:trPr>
        <w:tc>
          <w:tcPr>
            <w:tcW w:w="5080" w:type="dxa"/>
            <w:tcBorders>
              <w:top w:val="nil"/>
              <w:left w:val="nil"/>
              <w:bottom w:val="nil"/>
              <w:right w:val="nil"/>
            </w:tcBorders>
            <w:shd w:val="clear" w:color="auto" w:fill="FFFFFF" w:themeFill="background1"/>
          </w:tcPr>
          <w:p w14:paraId="500E6871" w14:textId="51F87D53"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Purchase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property</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plant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equipment</w:t>
            </w:r>
            <w:proofErr w:type="spellEnd"/>
          </w:p>
        </w:tc>
        <w:tc>
          <w:tcPr>
            <w:tcW w:w="1740" w:type="dxa"/>
            <w:tcBorders>
              <w:top w:val="nil"/>
              <w:left w:val="nil"/>
              <w:bottom w:val="nil"/>
              <w:right w:val="nil"/>
            </w:tcBorders>
            <w:shd w:val="clear" w:color="auto" w:fill="FFFFFF" w:themeFill="background1"/>
          </w:tcPr>
          <w:p w14:paraId="53C9A771" w14:textId="4B3082B1"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(849.6)</w:t>
            </w:r>
          </w:p>
        </w:tc>
        <w:tc>
          <w:tcPr>
            <w:tcW w:w="1680" w:type="dxa"/>
            <w:tcBorders>
              <w:top w:val="nil"/>
              <w:left w:val="nil"/>
              <w:bottom w:val="nil"/>
              <w:right w:val="nil"/>
            </w:tcBorders>
            <w:shd w:val="clear" w:color="auto" w:fill="FFFFFF" w:themeFill="background1"/>
          </w:tcPr>
          <w:p w14:paraId="7A298592" w14:textId="26151B3F"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(483.7)</w:t>
            </w:r>
          </w:p>
        </w:tc>
      </w:tr>
      <w:tr w:rsidR="00A37E56" w:rsidRPr="00781F53" w14:paraId="54B3BD26" w14:textId="77777777" w:rsidTr="4A94AE94">
        <w:trPr>
          <w:trHeight w:val="127"/>
        </w:trPr>
        <w:tc>
          <w:tcPr>
            <w:tcW w:w="5080" w:type="dxa"/>
            <w:tcBorders>
              <w:top w:val="nil"/>
              <w:left w:val="nil"/>
              <w:bottom w:val="nil"/>
              <w:right w:val="nil"/>
            </w:tcBorders>
            <w:shd w:val="clear" w:color="auto" w:fill="FFFFFF" w:themeFill="background1"/>
          </w:tcPr>
          <w:p w14:paraId="6EF57D3C" w14:textId="5E01914E"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Purchase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intangible</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assets</w:t>
            </w:r>
            <w:proofErr w:type="spellEnd"/>
          </w:p>
        </w:tc>
        <w:tc>
          <w:tcPr>
            <w:tcW w:w="1740" w:type="dxa"/>
            <w:tcBorders>
              <w:top w:val="nil"/>
              <w:left w:val="nil"/>
              <w:bottom w:val="nil"/>
              <w:right w:val="nil"/>
            </w:tcBorders>
            <w:shd w:val="clear" w:color="auto" w:fill="FFFFFF" w:themeFill="background1"/>
          </w:tcPr>
          <w:p w14:paraId="5AD24EA5" w14:textId="421FB8B6"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(86.0)</w:t>
            </w:r>
          </w:p>
        </w:tc>
        <w:tc>
          <w:tcPr>
            <w:tcW w:w="1680" w:type="dxa"/>
            <w:tcBorders>
              <w:top w:val="nil"/>
              <w:left w:val="nil"/>
              <w:bottom w:val="nil"/>
              <w:right w:val="nil"/>
            </w:tcBorders>
            <w:shd w:val="clear" w:color="auto" w:fill="FFFFFF" w:themeFill="background1"/>
          </w:tcPr>
          <w:p w14:paraId="512006DA" w14:textId="0C49363B"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(46.8)</w:t>
            </w:r>
          </w:p>
        </w:tc>
      </w:tr>
      <w:tr w:rsidR="00A37E56" w:rsidRPr="00781F53" w14:paraId="5083AADC" w14:textId="77777777" w:rsidTr="4A94AE94">
        <w:trPr>
          <w:trHeight w:val="127"/>
        </w:trPr>
        <w:tc>
          <w:tcPr>
            <w:tcW w:w="5080" w:type="dxa"/>
            <w:tcBorders>
              <w:top w:val="nil"/>
              <w:left w:val="nil"/>
              <w:bottom w:val="nil"/>
              <w:right w:val="nil"/>
            </w:tcBorders>
            <w:shd w:val="clear" w:color="auto" w:fill="FFFFFF" w:themeFill="background1"/>
          </w:tcPr>
          <w:p w14:paraId="0E6C407C" w14:textId="1FCA107A"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Proceeds</w:t>
            </w:r>
            <w:proofErr w:type="spellEnd"/>
            <w:r w:rsidRPr="00781F53">
              <w:rPr>
                <w:rFonts w:ascii="Arial" w:eastAsia="Times New Roman" w:hAnsi="Arial" w:cs="Arial"/>
                <w:color w:val="404040" w:themeColor="text1" w:themeTint="BF"/>
                <w:sz w:val="16"/>
                <w:szCs w:val="16"/>
                <w:lang w:val="pt-PT" w:eastAsia="pl-PL"/>
              </w:rPr>
              <w:t xml:space="preserve"> from </w:t>
            </w:r>
            <w:proofErr w:type="spellStart"/>
            <w:r w:rsidRPr="00781F53">
              <w:rPr>
                <w:rFonts w:ascii="Arial" w:eastAsia="Times New Roman" w:hAnsi="Arial" w:cs="Arial"/>
                <w:color w:val="404040" w:themeColor="text1" w:themeTint="BF"/>
                <w:sz w:val="16"/>
                <w:szCs w:val="16"/>
                <w:lang w:val="pt-PT" w:eastAsia="pl-PL"/>
              </w:rPr>
              <w:t>finance</w:t>
            </w:r>
            <w:proofErr w:type="spellEnd"/>
            <w:r w:rsidRPr="00781F53">
              <w:rPr>
                <w:rFonts w:ascii="Arial" w:eastAsia="Times New Roman" w:hAnsi="Arial" w:cs="Arial"/>
                <w:color w:val="404040" w:themeColor="text1" w:themeTint="BF"/>
                <w:sz w:val="16"/>
                <w:szCs w:val="16"/>
                <w:lang w:val="pt-PT" w:eastAsia="pl-PL"/>
              </w:rPr>
              <w:t xml:space="preserve"> </w:t>
            </w:r>
            <w:proofErr w:type="gramStart"/>
            <w:r w:rsidRPr="00781F53">
              <w:rPr>
                <w:rFonts w:ascii="Arial" w:eastAsia="Times New Roman" w:hAnsi="Arial" w:cs="Arial"/>
                <w:color w:val="404040" w:themeColor="text1" w:themeTint="BF"/>
                <w:sz w:val="16"/>
                <w:szCs w:val="16"/>
                <w:lang w:val="pt-PT" w:eastAsia="pl-PL"/>
              </w:rPr>
              <w:t>leases</w:t>
            </w:r>
            <w:proofErr w:type="gramEnd"/>
          </w:p>
        </w:tc>
        <w:tc>
          <w:tcPr>
            <w:tcW w:w="1740" w:type="dxa"/>
            <w:tcBorders>
              <w:top w:val="nil"/>
              <w:left w:val="nil"/>
              <w:bottom w:val="nil"/>
              <w:right w:val="nil"/>
            </w:tcBorders>
            <w:shd w:val="clear" w:color="auto" w:fill="FFFFFF" w:themeFill="background1"/>
          </w:tcPr>
          <w:p w14:paraId="69F29B2D" w14:textId="29DBDDB5"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c>
          <w:tcPr>
            <w:tcW w:w="1680" w:type="dxa"/>
            <w:tcBorders>
              <w:top w:val="nil"/>
              <w:left w:val="nil"/>
              <w:bottom w:val="nil"/>
              <w:right w:val="nil"/>
            </w:tcBorders>
            <w:shd w:val="clear" w:color="auto" w:fill="FFFFFF" w:themeFill="background1"/>
          </w:tcPr>
          <w:p w14:paraId="1B380E27" w14:textId="72D52990"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3.9</w:t>
            </w:r>
          </w:p>
        </w:tc>
      </w:tr>
      <w:tr w:rsidR="00A37E56" w:rsidRPr="00781F53" w14:paraId="003C23CC" w14:textId="77777777" w:rsidTr="4A94AE94">
        <w:trPr>
          <w:trHeight w:val="127"/>
        </w:trPr>
        <w:tc>
          <w:tcPr>
            <w:tcW w:w="5080" w:type="dxa"/>
            <w:tcBorders>
              <w:top w:val="nil"/>
              <w:left w:val="nil"/>
              <w:bottom w:val="nil"/>
              <w:right w:val="nil"/>
            </w:tcBorders>
            <w:shd w:val="clear" w:color="auto" w:fill="FFFFFF" w:themeFill="background1"/>
          </w:tcPr>
          <w:p w14:paraId="663E98B4" w14:textId="33EBF0D3" w:rsidR="00A37E56" w:rsidRPr="00781F53" w:rsidRDefault="00A37E56"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Acquisition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a </w:t>
            </w:r>
            <w:proofErr w:type="spellStart"/>
            <w:r w:rsidRPr="00781F53">
              <w:rPr>
                <w:rFonts w:ascii="Arial" w:eastAsia="Times New Roman" w:hAnsi="Arial" w:cs="Arial"/>
                <w:color w:val="404040" w:themeColor="text1" w:themeTint="BF"/>
                <w:sz w:val="16"/>
                <w:szCs w:val="16"/>
                <w:lang w:val="pt-PT" w:eastAsia="pl-PL"/>
              </w:rPr>
              <w:t>subsidiary</w:t>
            </w:r>
            <w:proofErr w:type="spellEnd"/>
            <w:r w:rsidRPr="00781F53">
              <w:rPr>
                <w:rFonts w:ascii="Arial" w:eastAsia="Times New Roman" w:hAnsi="Arial" w:cs="Arial"/>
                <w:color w:val="404040" w:themeColor="text1" w:themeTint="BF"/>
                <w:sz w:val="16"/>
                <w:szCs w:val="16"/>
                <w:lang w:val="pt-PT" w:eastAsia="pl-PL"/>
              </w:rPr>
              <w:t xml:space="preserve">, net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cash </w:t>
            </w:r>
            <w:proofErr w:type="spellStart"/>
            <w:r w:rsidRPr="00781F53">
              <w:rPr>
                <w:rFonts w:ascii="Arial" w:eastAsia="Times New Roman" w:hAnsi="Arial" w:cs="Arial"/>
                <w:color w:val="404040" w:themeColor="text1" w:themeTint="BF"/>
                <w:sz w:val="16"/>
                <w:szCs w:val="16"/>
                <w:lang w:val="pt-PT" w:eastAsia="pl-PL"/>
              </w:rPr>
              <w:t>acquired</w:t>
            </w:r>
            <w:proofErr w:type="spellEnd"/>
          </w:p>
        </w:tc>
        <w:tc>
          <w:tcPr>
            <w:tcW w:w="1740" w:type="dxa"/>
            <w:tcBorders>
              <w:top w:val="nil"/>
              <w:left w:val="nil"/>
              <w:bottom w:val="nil"/>
              <w:right w:val="nil"/>
            </w:tcBorders>
            <w:shd w:val="clear" w:color="auto" w:fill="FFFFFF" w:themeFill="background1"/>
          </w:tcPr>
          <w:p w14:paraId="0A7528FB" w14:textId="15BAFBA6" w:rsidR="00A37E56" w:rsidRPr="00781F53" w:rsidRDefault="00A37E56"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(2,260.7)</w:t>
            </w:r>
          </w:p>
        </w:tc>
        <w:tc>
          <w:tcPr>
            <w:tcW w:w="1680" w:type="dxa"/>
            <w:tcBorders>
              <w:top w:val="nil"/>
              <w:left w:val="nil"/>
              <w:bottom w:val="nil"/>
              <w:right w:val="nil"/>
            </w:tcBorders>
            <w:shd w:val="clear" w:color="auto" w:fill="FFFFFF" w:themeFill="background1"/>
          </w:tcPr>
          <w:p w14:paraId="4BB1D4C3" w14:textId="4563EAA2" w:rsidR="00A37E56" w:rsidRPr="00781F53" w:rsidRDefault="4A94AE94"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bookmarkEnd w:id="2"/>
      <w:tr w:rsidR="00BE5D90" w:rsidRPr="00781F53" w14:paraId="6B80AE2F" w14:textId="77777777" w:rsidTr="4A94AE94">
        <w:trPr>
          <w:trHeight w:val="175"/>
        </w:trPr>
        <w:tc>
          <w:tcPr>
            <w:tcW w:w="5080" w:type="dxa"/>
            <w:tcBorders>
              <w:top w:val="nil"/>
              <w:left w:val="nil"/>
              <w:bottom w:val="nil"/>
              <w:right w:val="nil"/>
            </w:tcBorders>
            <w:shd w:val="clear" w:color="auto" w:fill="FFC000" w:themeFill="accent4"/>
          </w:tcPr>
          <w:p w14:paraId="0770D89B" w14:textId="17F4FD38" w:rsidR="00BE5D90" w:rsidRPr="00781F53" w:rsidRDefault="00BE5D90"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Net cash from </w:t>
            </w:r>
            <w:proofErr w:type="spellStart"/>
            <w:r w:rsidRPr="00781F53">
              <w:rPr>
                <w:rFonts w:ascii="Arial" w:eastAsia="Times New Roman" w:hAnsi="Arial" w:cs="Arial"/>
                <w:b/>
                <w:bCs/>
                <w:color w:val="404040" w:themeColor="text1" w:themeTint="BF"/>
                <w:sz w:val="16"/>
                <w:szCs w:val="16"/>
                <w:lang w:val="pt-PT" w:eastAsia="pl-PL"/>
              </w:rPr>
              <w:t>investing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FFC000" w:themeFill="accent4"/>
          </w:tcPr>
          <w:p w14:paraId="0F3259CD" w14:textId="0596DC20" w:rsidR="00BE5D90" w:rsidRPr="00781F53" w:rsidRDefault="00BE5D90"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(3,196.3)</w:t>
            </w:r>
          </w:p>
        </w:tc>
        <w:tc>
          <w:tcPr>
            <w:tcW w:w="1680" w:type="dxa"/>
            <w:tcBorders>
              <w:top w:val="nil"/>
              <w:left w:val="nil"/>
              <w:bottom w:val="nil"/>
              <w:right w:val="nil"/>
            </w:tcBorders>
            <w:shd w:val="clear" w:color="auto" w:fill="FFC000" w:themeFill="accent4"/>
          </w:tcPr>
          <w:p w14:paraId="19ABB663" w14:textId="73FBD565" w:rsidR="00BE5D90" w:rsidRPr="00781F53" w:rsidRDefault="00BE5D90"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(526.6)</w:t>
            </w:r>
          </w:p>
        </w:tc>
      </w:tr>
      <w:tr w:rsidR="00BE5D90" w:rsidRPr="00781F53" w14:paraId="7E01E28E" w14:textId="77777777" w:rsidTr="4A94AE94">
        <w:trPr>
          <w:trHeight w:val="178"/>
        </w:trPr>
        <w:tc>
          <w:tcPr>
            <w:tcW w:w="5080" w:type="dxa"/>
            <w:tcBorders>
              <w:top w:val="nil"/>
              <w:left w:val="nil"/>
              <w:bottom w:val="nil"/>
              <w:right w:val="nil"/>
            </w:tcBorders>
            <w:shd w:val="clear" w:color="auto" w:fill="D9D9D9" w:themeFill="background1" w:themeFillShade="D9"/>
          </w:tcPr>
          <w:p w14:paraId="33CF6000" w14:textId="34F20775" w:rsidR="00BE5D90" w:rsidRPr="00781F53" w:rsidRDefault="00BE5D90"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Cash </w:t>
            </w:r>
            <w:proofErr w:type="spellStart"/>
            <w:r w:rsidRPr="00781F53">
              <w:rPr>
                <w:rFonts w:ascii="Arial" w:eastAsia="Times New Roman" w:hAnsi="Arial" w:cs="Arial"/>
                <w:b/>
                <w:bCs/>
                <w:color w:val="404040" w:themeColor="text1" w:themeTint="BF"/>
                <w:sz w:val="16"/>
                <w:szCs w:val="16"/>
                <w:lang w:val="pt-PT" w:eastAsia="pl-PL"/>
              </w:rPr>
              <w:t>flows</w:t>
            </w:r>
            <w:proofErr w:type="spellEnd"/>
            <w:r w:rsidRPr="00781F53">
              <w:rPr>
                <w:rFonts w:ascii="Arial" w:eastAsia="Times New Roman" w:hAnsi="Arial" w:cs="Arial"/>
                <w:b/>
                <w:bCs/>
                <w:color w:val="404040" w:themeColor="text1" w:themeTint="BF"/>
                <w:sz w:val="16"/>
                <w:szCs w:val="16"/>
                <w:lang w:val="pt-PT" w:eastAsia="pl-PL"/>
              </w:rPr>
              <w:t xml:space="preserve"> from </w:t>
            </w:r>
            <w:proofErr w:type="spellStart"/>
            <w:r w:rsidRPr="00781F53">
              <w:rPr>
                <w:rFonts w:ascii="Arial" w:eastAsia="Times New Roman" w:hAnsi="Arial" w:cs="Arial"/>
                <w:b/>
                <w:bCs/>
                <w:color w:val="404040" w:themeColor="text1" w:themeTint="BF"/>
                <w:sz w:val="16"/>
                <w:szCs w:val="16"/>
                <w:lang w:val="pt-PT" w:eastAsia="pl-PL"/>
              </w:rPr>
              <w:t>financing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D9D9D9" w:themeFill="background1" w:themeFillShade="D9"/>
          </w:tcPr>
          <w:p w14:paraId="35A2B93E" w14:textId="77777777" w:rsidR="00BE5D90" w:rsidRPr="00781F53" w:rsidRDefault="00BE5D90" w:rsidP="00781F53">
            <w:pPr>
              <w:spacing w:line="276" w:lineRule="auto"/>
              <w:jc w:val="center"/>
              <w:rPr>
                <w:rFonts w:ascii="Arial" w:hAnsi="Arial" w:cs="Arial"/>
                <w:b/>
                <w:color w:val="404040" w:themeColor="text1" w:themeTint="BF"/>
                <w:sz w:val="16"/>
                <w:szCs w:val="16"/>
                <w:lang w:val="pt-PT" w:eastAsia="pl-PL"/>
              </w:rPr>
            </w:pPr>
          </w:p>
        </w:tc>
        <w:tc>
          <w:tcPr>
            <w:tcW w:w="1680" w:type="dxa"/>
            <w:tcBorders>
              <w:top w:val="nil"/>
              <w:left w:val="nil"/>
              <w:bottom w:val="nil"/>
              <w:right w:val="nil"/>
            </w:tcBorders>
            <w:shd w:val="clear" w:color="auto" w:fill="D9D9D9" w:themeFill="background1" w:themeFillShade="D9"/>
          </w:tcPr>
          <w:p w14:paraId="3EA93FD0" w14:textId="77777777" w:rsidR="00BE5D90" w:rsidRPr="00781F53" w:rsidRDefault="00BE5D90" w:rsidP="00781F53">
            <w:pPr>
              <w:spacing w:line="276" w:lineRule="auto"/>
              <w:jc w:val="center"/>
              <w:rPr>
                <w:rFonts w:ascii="Arial" w:hAnsi="Arial" w:cs="Arial"/>
                <w:b/>
                <w:color w:val="404040" w:themeColor="text1" w:themeTint="BF"/>
                <w:sz w:val="16"/>
                <w:szCs w:val="16"/>
                <w:lang w:val="pt-PT" w:eastAsia="pl-PL"/>
              </w:rPr>
            </w:pPr>
          </w:p>
        </w:tc>
      </w:tr>
      <w:tr w:rsidR="00BE5D90" w:rsidRPr="00781F53" w14:paraId="27C2DD28" w14:textId="77777777" w:rsidTr="4A94AE94">
        <w:trPr>
          <w:trHeight w:val="127"/>
        </w:trPr>
        <w:tc>
          <w:tcPr>
            <w:tcW w:w="5080" w:type="dxa"/>
            <w:tcBorders>
              <w:top w:val="nil"/>
              <w:left w:val="nil"/>
              <w:bottom w:val="nil"/>
              <w:right w:val="nil"/>
            </w:tcBorders>
            <w:shd w:val="clear" w:color="auto" w:fill="FFFFFF" w:themeFill="background1"/>
          </w:tcPr>
          <w:p w14:paraId="295D532E" w14:textId="6FC5B2F4"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Proceeds</w:t>
            </w:r>
            <w:proofErr w:type="spellEnd"/>
            <w:r w:rsidRPr="00781F53">
              <w:rPr>
                <w:rFonts w:ascii="Arial" w:eastAsia="Times New Roman" w:hAnsi="Arial" w:cs="Arial"/>
                <w:color w:val="404040" w:themeColor="text1" w:themeTint="BF"/>
                <w:sz w:val="16"/>
                <w:szCs w:val="16"/>
                <w:lang w:val="pt-PT" w:eastAsia="pl-PL"/>
              </w:rPr>
              <w:t xml:space="preserve"> from </w:t>
            </w:r>
            <w:proofErr w:type="spellStart"/>
            <w:r w:rsidRPr="00781F53">
              <w:rPr>
                <w:rFonts w:ascii="Arial" w:eastAsia="Times New Roman" w:hAnsi="Arial" w:cs="Arial"/>
                <w:color w:val="404040" w:themeColor="text1" w:themeTint="BF"/>
                <w:sz w:val="16"/>
                <w:szCs w:val="16"/>
                <w:lang w:val="pt-PT" w:eastAsia="pl-PL"/>
              </w:rPr>
              <w:t>loans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borrowings</w:t>
            </w:r>
            <w:proofErr w:type="spellEnd"/>
          </w:p>
        </w:tc>
        <w:tc>
          <w:tcPr>
            <w:tcW w:w="1740" w:type="dxa"/>
            <w:tcBorders>
              <w:top w:val="nil"/>
              <w:left w:val="nil"/>
              <w:bottom w:val="nil"/>
              <w:right w:val="nil"/>
            </w:tcBorders>
            <w:shd w:val="clear" w:color="auto" w:fill="FFFFFF" w:themeFill="background1"/>
          </w:tcPr>
          <w:p w14:paraId="7C4CCD45" w14:textId="6615A4EB"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1,949.8</w:t>
            </w:r>
          </w:p>
        </w:tc>
        <w:tc>
          <w:tcPr>
            <w:tcW w:w="1680" w:type="dxa"/>
            <w:tcBorders>
              <w:top w:val="nil"/>
              <w:left w:val="nil"/>
              <w:bottom w:val="nil"/>
              <w:right w:val="nil"/>
            </w:tcBorders>
            <w:shd w:val="clear" w:color="auto" w:fill="FFFFFF" w:themeFill="background1"/>
          </w:tcPr>
          <w:p w14:paraId="296BCDCC" w14:textId="6764B76A"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84.9</w:t>
            </w:r>
          </w:p>
        </w:tc>
      </w:tr>
      <w:tr w:rsidR="00BE5D90" w:rsidRPr="00781F53" w14:paraId="2F1A5F95" w14:textId="77777777" w:rsidTr="4A94AE94">
        <w:trPr>
          <w:trHeight w:val="127"/>
        </w:trPr>
        <w:tc>
          <w:tcPr>
            <w:tcW w:w="5080" w:type="dxa"/>
            <w:tcBorders>
              <w:top w:val="nil"/>
              <w:left w:val="nil"/>
              <w:bottom w:val="nil"/>
              <w:right w:val="nil"/>
            </w:tcBorders>
            <w:shd w:val="clear" w:color="auto" w:fill="FFFFFF" w:themeFill="background1"/>
          </w:tcPr>
          <w:p w14:paraId="79AB1D65" w14:textId="1003A774" w:rsidR="00BE5D90" w:rsidRPr="00781F53" w:rsidRDefault="00BE5D90" w:rsidP="00781F53">
            <w:pPr>
              <w:spacing w:line="276" w:lineRule="auto"/>
              <w:ind w:left="314"/>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Repayment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the principal </w:t>
            </w:r>
            <w:proofErr w:type="spellStart"/>
            <w:r w:rsidRPr="00781F53">
              <w:rPr>
                <w:rFonts w:ascii="Arial" w:eastAsia="Times New Roman" w:hAnsi="Arial" w:cs="Arial"/>
                <w:color w:val="404040" w:themeColor="text1" w:themeTint="BF"/>
                <w:sz w:val="16"/>
                <w:szCs w:val="16"/>
                <w:lang w:val="pt-PT" w:eastAsia="pl-PL"/>
              </w:rPr>
              <w:t>portion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loans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borrowings</w:t>
            </w:r>
            <w:proofErr w:type="spellEnd"/>
          </w:p>
        </w:tc>
        <w:tc>
          <w:tcPr>
            <w:tcW w:w="1740" w:type="dxa"/>
            <w:tcBorders>
              <w:top w:val="nil"/>
              <w:left w:val="nil"/>
              <w:bottom w:val="nil"/>
              <w:right w:val="nil"/>
            </w:tcBorders>
            <w:shd w:val="clear" w:color="auto" w:fill="FFFFFF" w:themeFill="background1"/>
          </w:tcPr>
          <w:p w14:paraId="3493B20A" w14:textId="4BB50F6C"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(658.9)</w:t>
            </w:r>
          </w:p>
        </w:tc>
        <w:tc>
          <w:tcPr>
            <w:tcW w:w="1680" w:type="dxa"/>
            <w:tcBorders>
              <w:top w:val="nil"/>
              <w:left w:val="nil"/>
              <w:bottom w:val="nil"/>
              <w:right w:val="nil"/>
            </w:tcBorders>
            <w:shd w:val="clear" w:color="auto" w:fill="FFFFFF" w:themeFill="background1"/>
          </w:tcPr>
          <w:p w14:paraId="2121F756" w14:textId="12223718"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(8.8)</w:t>
            </w:r>
          </w:p>
        </w:tc>
      </w:tr>
      <w:tr w:rsidR="00BE5D90" w:rsidRPr="00781F53" w14:paraId="48EDB12F" w14:textId="77777777" w:rsidTr="4A94AE94">
        <w:trPr>
          <w:trHeight w:val="127"/>
        </w:trPr>
        <w:tc>
          <w:tcPr>
            <w:tcW w:w="5080" w:type="dxa"/>
            <w:tcBorders>
              <w:top w:val="nil"/>
              <w:left w:val="nil"/>
              <w:bottom w:val="nil"/>
              <w:right w:val="nil"/>
            </w:tcBorders>
            <w:shd w:val="clear" w:color="auto" w:fill="FFFFFF" w:themeFill="background1"/>
          </w:tcPr>
          <w:p w14:paraId="21D19998" w14:textId="662CFEE6"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Proceeds</w:t>
            </w:r>
            <w:proofErr w:type="spellEnd"/>
            <w:r w:rsidRPr="00781F53">
              <w:rPr>
                <w:rFonts w:ascii="Arial" w:eastAsia="Times New Roman" w:hAnsi="Arial" w:cs="Arial"/>
                <w:color w:val="404040" w:themeColor="text1" w:themeTint="BF"/>
                <w:sz w:val="16"/>
                <w:szCs w:val="16"/>
                <w:lang w:val="pt-PT" w:eastAsia="pl-PL"/>
              </w:rPr>
              <w:t xml:space="preserve"> from </w:t>
            </w:r>
            <w:proofErr w:type="spellStart"/>
            <w:r w:rsidRPr="00781F53">
              <w:rPr>
                <w:rFonts w:ascii="Arial" w:eastAsia="Times New Roman" w:hAnsi="Arial" w:cs="Arial"/>
                <w:color w:val="404040" w:themeColor="text1" w:themeTint="BF"/>
                <w:sz w:val="16"/>
                <w:szCs w:val="16"/>
                <w:lang w:val="pt-PT" w:eastAsia="pl-PL"/>
              </w:rPr>
              <w:t>bonds</w:t>
            </w:r>
            <w:proofErr w:type="spellEnd"/>
          </w:p>
        </w:tc>
        <w:tc>
          <w:tcPr>
            <w:tcW w:w="1740" w:type="dxa"/>
            <w:tcBorders>
              <w:top w:val="nil"/>
              <w:left w:val="nil"/>
              <w:bottom w:val="nil"/>
              <w:right w:val="nil"/>
            </w:tcBorders>
            <w:shd w:val="clear" w:color="auto" w:fill="FFFFFF" w:themeFill="background1"/>
          </w:tcPr>
          <w:p w14:paraId="00FE141F" w14:textId="1DDD5ADE"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2,715.2</w:t>
            </w:r>
          </w:p>
        </w:tc>
        <w:tc>
          <w:tcPr>
            <w:tcW w:w="1680" w:type="dxa"/>
            <w:tcBorders>
              <w:top w:val="nil"/>
              <w:left w:val="nil"/>
              <w:bottom w:val="nil"/>
              <w:right w:val="nil"/>
            </w:tcBorders>
            <w:shd w:val="clear" w:color="auto" w:fill="FFFFFF" w:themeFill="background1"/>
          </w:tcPr>
          <w:p w14:paraId="2E5689B5" w14:textId="1AB30A2A"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BE5D90" w:rsidRPr="00781F53" w14:paraId="000AC5D1" w14:textId="77777777" w:rsidTr="4A94AE94">
        <w:trPr>
          <w:trHeight w:val="127"/>
        </w:trPr>
        <w:tc>
          <w:tcPr>
            <w:tcW w:w="5080" w:type="dxa"/>
            <w:tcBorders>
              <w:top w:val="nil"/>
              <w:left w:val="nil"/>
              <w:bottom w:val="nil"/>
              <w:right w:val="nil"/>
            </w:tcBorders>
            <w:shd w:val="clear" w:color="auto" w:fill="FFFFFF" w:themeFill="background1"/>
          </w:tcPr>
          <w:p w14:paraId="61B3218A" w14:textId="5D39A3A8"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Payment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principal </w:t>
            </w:r>
            <w:proofErr w:type="spellStart"/>
            <w:r w:rsidRPr="00781F53">
              <w:rPr>
                <w:rFonts w:ascii="Arial" w:eastAsia="Times New Roman" w:hAnsi="Arial" w:cs="Arial"/>
                <w:color w:val="404040" w:themeColor="text1" w:themeTint="BF"/>
                <w:sz w:val="16"/>
                <w:szCs w:val="16"/>
                <w:lang w:val="pt-PT" w:eastAsia="pl-PL"/>
              </w:rPr>
              <w:t>portion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the </w:t>
            </w:r>
            <w:proofErr w:type="gramStart"/>
            <w:r w:rsidRPr="00781F53">
              <w:rPr>
                <w:rFonts w:ascii="Arial" w:eastAsia="Times New Roman" w:hAnsi="Arial" w:cs="Arial"/>
                <w:color w:val="404040" w:themeColor="text1" w:themeTint="BF"/>
                <w:sz w:val="16"/>
                <w:szCs w:val="16"/>
                <w:lang w:val="pt-PT" w:eastAsia="pl-PL"/>
              </w:rPr>
              <w:t>lease</w:t>
            </w:r>
            <w:proofErr w:type="gram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liability</w:t>
            </w:r>
            <w:proofErr w:type="spellEnd"/>
          </w:p>
        </w:tc>
        <w:tc>
          <w:tcPr>
            <w:tcW w:w="1740" w:type="dxa"/>
            <w:tcBorders>
              <w:top w:val="nil"/>
              <w:left w:val="nil"/>
              <w:bottom w:val="nil"/>
              <w:right w:val="nil"/>
            </w:tcBorders>
            <w:shd w:val="clear" w:color="auto" w:fill="FFFFFF" w:themeFill="background1"/>
          </w:tcPr>
          <w:p w14:paraId="301A9BFA" w14:textId="7D967659"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(302.0)</w:t>
            </w:r>
          </w:p>
        </w:tc>
        <w:tc>
          <w:tcPr>
            <w:tcW w:w="1680" w:type="dxa"/>
            <w:tcBorders>
              <w:top w:val="nil"/>
              <w:left w:val="nil"/>
              <w:bottom w:val="nil"/>
              <w:right w:val="nil"/>
            </w:tcBorders>
            <w:shd w:val="clear" w:color="auto" w:fill="FFFFFF" w:themeFill="background1"/>
          </w:tcPr>
          <w:p w14:paraId="07DE8E6E" w14:textId="104727F3"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(204.2)</w:t>
            </w:r>
          </w:p>
        </w:tc>
      </w:tr>
      <w:tr w:rsidR="00BE5D90" w:rsidRPr="00781F53" w14:paraId="77407D25" w14:textId="77777777" w:rsidTr="4A94AE94">
        <w:trPr>
          <w:trHeight w:val="127"/>
        </w:trPr>
        <w:tc>
          <w:tcPr>
            <w:tcW w:w="5080" w:type="dxa"/>
            <w:tcBorders>
              <w:top w:val="nil"/>
              <w:left w:val="nil"/>
              <w:bottom w:val="nil"/>
              <w:right w:val="nil"/>
            </w:tcBorders>
            <w:shd w:val="clear" w:color="auto" w:fill="FFFFFF" w:themeFill="background1"/>
          </w:tcPr>
          <w:p w14:paraId="253B02CE" w14:textId="14D4533F"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Payment</w:t>
            </w:r>
            <w:proofErr w:type="spellEnd"/>
            <w:r w:rsidRPr="00781F53">
              <w:rPr>
                <w:rFonts w:ascii="Arial" w:eastAsia="Times New Roman" w:hAnsi="Arial" w:cs="Arial"/>
                <w:color w:val="404040" w:themeColor="text1" w:themeTint="BF"/>
                <w:sz w:val="16"/>
                <w:szCs w:val="16"/>
                <w:lang w:val="pt-PT" w:eastAsia="pl-PL"/>
              </w:rPr>
              <w:t xml:space="preserve"> to </w:t>
            </w:r>
            <w:proofErr w:type="spellStart"/>
            <w:r w:rsidRPr="00781F53">
              <w:rPr>
                <w:rFonts w:ascii="Arial" w:eastAsia="Times New Roman" w:hAnsi="Arial" w:cs="Arial"/>
                <w:color w:val="404040" w:themeColor="text1" w:themeTint="BF"/>
                <w:sz w:val="16"/>
                <w:szCs w:val="16"/>
                <w:lang w:val="pt-PT" w:eastAsia="pl-PL"/>
              </w:rPr>
              <w:t>shareholders</w:t>
            </w:r>
            <w:proofErr w:type="spellEnd"/>
          </w:p>
        </w:tc>
        <w:tc>
          <w:tcPr>
            <w:tcW w:w="1740" w:type="dxa"/>
            <w:tcBorders>
              <w:top w:val="nil"/>
              <w:left w:val="nil"/>
              <w:bottom w:val="nil"/>
              <w:right w:val="nil"/>
            </w:tcBorders>
            <w:shd w:val="clear" w:color="auto" w:fill="FFFFFF" w:themeFill="background1"/>
          </w:tcPr>
          <w:p w14:paraId="63E75FDE" w14:textId="308A53AE"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(1,238.1)</w:t>
            </w:r>
          </w:p>
        </w:tc>
        <w:tc>
          <w:tcPr>
            <w:tcW w:w="1680" w:type="dxa"/>
            <w:tcBorders>
              <w:top w:val="nil"/>
              <w:left w:val="nil"/>
              <w:bottom w:val="nil"/>
              <w:right w:val="nil"/>
            </w:tcBorders>
            <w:shd w:val="clear" w:color="auto" w:fill="FFFFFF" w:themeFill="background1"/>
          </w:tcPr>
          <w:p w14:paraId="3E55A8FB" w14:textId="45B9121A"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(73.1)</w:t>
            </w:r>
          </w:p>
        </w:tc>
      </w:tr>
      <w:tr w:rsidR="00BE5D90" w:rsidRPr="00781F53" w14:paraId="2D5496B4" w14:textId="77777777" w:rsidTr="4A94AE94">
        <w:trPr>
          <w:trHeight w:val="127"/>
        </w:trPr>
        <w:tc>
          <w:tcPr>
            <w:tcW w:w="5080" w:type="dxa"/>
            <w:tcBorders>
              <w:top w:val="nil"/>
              <w:left w:val="nil"/>
              <w:bottom w:val="nil"/>
              <w:right w:val="nil"/>
            </w:tcBorders>
            <w:shd w:val="clear" w:color="auto" w:fill="FFFFFF" w:themeFill="background1"/>
          </w:tcPr>
          <w:p w14:paraId="11A9326B" w14:textId="67F84BC1"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Government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grants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return</w:t>
            </w:r>
            <w:proofErr w:type="spellEnd"/>
          </w:p>
        </w:tc>
        <w:tc>
          <w:tcPr>
            <w:tcW w:w="1740" w:type="dxa"/>
            <w:tcBorders>
              <w:top w:val="nil"/>
              <w:left w:val="nil"/>
              <w:bottom w:val="nil"/>
              <w:right w:val="nil"/>
            </w:tcBorders>
            <w:shd w:val="clear" w:color="auto" w:fill="FFFFFF" w:themeFill="background1"/>
          </w:tcPr>
          <w:p w14:paraId="22FFFBA1" w14:textId="3B7F22ED"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(18.7)</w:t>
            </w:r>
          </w:p>
        </w:tc>
        <w:tc>
          <w:tcPr>
            <w:tcW w:w="1680" w:type="dxa"/>
            <w:tcBorders>
              <w:top w:val="nil"/>
              <w:left w:val="nil"/>
              <w:bottom w:val="nil"/>
              <w:right w:val="nil"/>
            </w:tcBorders>
            <w:shd w:val="clear" w:color="auto" w:fill="FFFFFF" w:themeFill="background1"/>
          </w:tcPr>
          <w:p w14:paraId="51651146" w14:textId="176BA296"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r>
      <w:tr w:rsidR="00BE5D90" w:rsidRPr="00781F53" w14:paraId="36DF06E6" w14:textId="77777777" w:rsidTr="4A94AE94">
        <w:trPr>
          <w:trHeight w:val="127"/>
        </w:trPr>
        <w:tc>
          <w:tcPr>
            <w:tcW w:w="5080" w:type="dxa"/>
            <w:tcBorders>
              <w:top w:val="nil"/>
              <w:left w:val="nil"/>
              <w:bottom w:val="nil"/>
              <w:right w:val="nil"/>
            </w:tcBorders>
            <w:shd w:val="clear" w:color="auto" w:fill="FFFFFF" w:themeFill="background1"/>
          </w:tcPr>
          <w:p w14:paraId="76A88F40" w14:textId="174908B8" w:rsidR="00BE5D90" w:rsidRPr="00781F53" w:rsidRDefault="00BE5D90"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Proceeds</w:t>
            </w:r>
            <w:proofErr w:type="spellEnd"/>
            <w:r w:rsidRPr="00781F53">
              <w:rPr>
                <w:rFonts w:ascii="Arial" w:eastAsia="Times New Roman" w:hAnsi="Arial" w:cs="Arial"/>
                <w:color w:val="404040" w:themeColor="text1" w:themeTint="BF"/>
                <w:sz w:val="16"/>
                <w:szCs w:val="16"/>
                <w:lang w:val="pt-PT" w:eastAsia="pl-PL"/>
              </w:rPr>
              <w:t xml:space="preserve"> from the capital </w:t>
            </w:r>
            <w:proofErr w:type="spellStart"/>
            <w:r w:rsidRPr="00781F53">
              <w:rPr>
                <w:rFonts w:ascii="Arial" w:eastAsia="Times New Roman" w:hAnsi="Arial" w:cs="Arial"/>
                <w:color w:val="404040" w:themeColor="text1" w:themeTint="BF"/>
                <w:sz w:val="16"/>
                <w:szCs w:val="16"/>
                <w:lang w:val="pt-PT" w:eastAsia="pl-PL"/>
              </w:rPr>
              <w:t>increases</w:t>
            </w:r>
            <w:proofErr w:type="spellEnd"/>
          </w:p>
        </w:tc>
        <w:tc>
          <w:tcPr>
            <w:tcW w:w="1740" w:type="dxa"/>
            <w:tcBorders>
              <w:top w:val="nil"/>
              <w:left w:val="nil"/>
              <w:bottom w:val="nil"/>
              <w:right w:val="nil"/>
            </w:tcBorders>
            <w:shd w:val="clear" w:color="auto" w:fill="FFFFFF" w:themeFill="background1"/>
          </w:tcPr>
          <w:p w14:paraId="3B8C7C11" w14:textId="4FF3A5B4"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w:t>
            </w:r>
          </w:p>
        </w:tc>
        <w:tc>
          <w:tcPr>
            <w:tcW w:w="1680" w:type="dxa"/>
            <w:tcBorders>
              <w:top w:val="nil"/>
              <w:left w:val="nil"/>
              <w:bottom w:val="nil"/>
              <w:right w:val="nil"/>
            </w:tcBorders>
            <w:shd w:val="clear" w:color="auto" w:fill="FFFFFF" w:themeFill="background1"/>
          </w:tcPr>
          <w:p w14:paraId="17807A42" w14:textId="21D60980" w:rsidR="00BE5D90" w:rsidRPr="00781F53" w:rsidRDefault="00BE5D90"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18.0</w:t>
            </w:r>
          </w:p>
        </w:tc>
      </w:tr>
      <w:tr w:rsidR="00E1045F" w:rsidRPr="00781F53" w14:paraId="08BC28CF" w14:textId="77777777" w:rsidTr="4A94AE94">
        <w:trPr>
          <w:trHeight w:val="175"/>
        </w:trPr>
        <w:tc>
          <w:tcPr>
            <w:tcW w:w="5080" w:type="dxa"/>
            <w:tcBorders>
              <w:top w:val="nil"/>
              <w:left w:val="nil"/>
              <w:bottom w:val="nil"/>
              <w:right w:val="nil"/>
            </w:tcBorders>
            <w:shd w:val="clear" w:color="auto" w:fill="FFC000" w:themeFill="accent4"/>
          </w:tcPr>
          <w:p w14:paraId="59BB01FE" w14:textId="4BECF8DE" w:rsidR="00E1045F" w:rsidRPr="00781F53" w:rsidRDefault="00E1045F"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Net cash from </w:t>
            </w:r>
            <w:proofErr w:type="spellStart"/>
            <w:r w:rsidRPr="00781F53">
              <w:rPr>
                <w:rFonts w:ascii="Arial" w:eastAsia="Times New Roman" w:hAnsi="Arial" w:cs="Arial"/>
                <w:b/>
                <w:bCs/>
                <w:color w:val="404040" w:themeColor="text1" w:themeTint="BF"/>
                <w:sz w:val="16"/>
                <w:szCs w:val="16"/>
                <w:lang w:val="pt-PT" w:eastAsia="pl-PL"/>
              </w:rPr>
              <w:t>financing</w:t>
            </w:r>
            <w:proofErr w:type="spell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activities</w:t>
            </w:r>
            <w:proofErr w:type="spellEnd"/>
          </w:p>
        </w:tc>
        <w:tc>
          <w:tcPr>
            <w:tcW w:w="1740" w:type="dxa"/>
            <w:tcBorders>
              <w:top w:val="nil"/>
              <w:left w:val="nil"/>
              <w:bottom w:val="nil"/>
              <w:right w:val="nil"/>
            </w:tcBorders>
            <w:shd w:val="clear" w:color="auto" w:fill="FFC000" w:themeFill="accent4"/>
          </w:tcPr>
          <w:p w14:paraId="76485F16" w14:textId="6C9AA99C" w:rsidR="00E1045F" w:rsidRPr="00781F53" w:rsidRDefault="00E1045F"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2,447.3</w:t>
            </w:r>
          </w:p>
        </w:tc>
        <w:tc>
          <w:tcPr>
            <w:tcW w:w="1680" w:type="dxa"/>
            <w:tcBorders>
              <w:top w:val="nil"/>
              <w:left w:val="nil"/>
              <w:bottom w:val="nil"/>
              <w:right w:val="nil"/>
            </w:tcBorders>
            <w:shd w:val="clear" w:color="auto" w:fill="FFC000" w:themeFill="accent4"/>
          </w:tcPr>
          <w:p w14:paraId="5174CBD2" w14:textId="5128C6ED" w:rsidR="00E1045F" w:rsidRPr="00781F53" w:rsidRDefault="00E1045F"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(183.2)</w:t>
            </w:r>
          </w:p>
        </w:tc>
      </w:tr>
      <w:tr w:rsidR="00E1045F" w:rsidRPr="00781F53" w14:paraId="67EC6A3D" w14:textId="77777777" w:rsidTr="4A94AE94">
        <w:trPr>
          <w:trHeight w:val="178"/>
        </w:trPr>
        <w:tc>
          <w:tcPr>
            <w:tcW w:w="5080" w:type="dxa"/>
            <w:tcBorders>
              <w:top w:val="nil"/>
              <w:left w:val="nil"/>
              <w:bottom w:val="nil"/>
              <w:right w:val="nil"/>
            </w:tcBorders>
            <w:shd w:val="clear" w:color="auto" w:fill="D9D9D9" w:themeFill="background1" w:themeFillShade="D9"/>
          </w:tcPr>
          <w:p w14:paraId="357647CB" w14:textId="41ABE09C" w:rsidR="00E1045F" w:rsidRPr="00781F53" w:rsidRDefault="00E1045F" w:rsidP="00781F53">
            <w:pPr>
              <w:spacing w:line="276" w:lineRule="auto"/>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 xml:space="preserve">Net </w:t>
            </w:r>
            <w:proofErr w:type="spellStart"/>
            <w:r w:rsidRPr="00781F53">
              <w:rPr>
                <w:rFonts w:ascii="Arial" w:eastAsia="Times New Roman" w:hAnsi="Arial" w:cs="Arial"/>
                <w:b/>
                <w:bCs/>
                <w:color w:val="404040" w:themeColor="text1" w:themeTint="BF"/>
                <w:sz w:val="16"/>
                <w:szCs w:val="16"/>
                <w:lang w:val="pt-PT" w:eastAsia="pl-PL"/>
              </w:rPr>
              <w:t>increase/</w:t>
            </w:r>
            <w:proofErr w:type="gramStart"/>
            <w:r w:rsidRPr="00781F53">
              <w:rPr>
                <w:rFonts w:ascii="Arial" w:eastAsia="Times New Roman" w:hAnsi="Arial" w:cs="Arial"/>
                <w:b/>
                <w:bCs/>
                <w:color w:val="404040" w:themeColor="text1" w:themeTint="BF"/>
                <w:sz w:val="16"/>
                <w:szCs w:val="16"/>
                <w:lang w:val="pt-PT" w:eastAsia="pl-PL"/>
              </w:rPr>
              <w:t>(decrease</w:t>
            </w:r>
            <w:proofErr w:type="spellEnd"/>
            <w:proofErr w:type="gramEnd"/>
            <w:r w:rsidRPr="00781F53">
              <w:rPr>
                <w:rFonts w:ascii="Arial" w:eastAsia="Times New Roman" w:hAnsi="Arial" w:cs="Arial"/>
                <w:b/>
                <w:bCs/>
                <w:color w:val="404040" w:themeColor="text1" w:themeTint="BF"/>
                <w:sz w:val="16"/>
                <w:szCs w:val="16"/>
                <w:lang w:val="pt-PT" w:eastAsia="pl-PL"/>
              </w:rPr>
              <w:t xml:space="preserve">) </w:t>
            </w:r>
            <w:proofErr w:type="spellStart"/>
            <w:r w:rsidRPr="00781F53">
              <w:rPr>
                <w:rFonts w:ascii="Arial" w:eastAsia="Times New Roman" w:hAnsi="Arial" w:cs="Arial"/>
                <w:b/>
                <w:bCs/>
                <w:color w:val="404040" w:themeColor="text1" w:themeTint="BF"/>
                <w:sz w:val="16"/>
                <w:szCs w:val="16"/>
                <w:lang w:val="pt-PT" w:eastAsia="pl-PL"/>
              </w:rPr>
              <w:t>in</w:t>
            </w:r>
            <w:proofErr w:type="spellEnd"/>
            <w:r w:rsidRPr="00781F53">
              <w:rPr>
                <w:rFonts w:ascii="Arial" w:eastAsia="Times New Roman" w:hAnsi="Arial" w:cs="Arial"/>
                <w:b/>
                <w:bCs/>
                <w:color w:val="404040" w:themeColor="text1" w:themeTint="BF"/>
                <w:sz w:val="16"/>
                <w:szCs w:val="16"/>
                <w:lang w:val="pt-PT" w:eastAsia="pl-PL"/>
              </w:rPr>
              <w:t xml:space="preserve"> cash </w:t>
            </w:r>
            <w:proofErr w:type="spellStart"/>
            <w:r w:rsidRPr="00781F53">
              <w:rPr>
                <w:rFonts w:ascii="Arial" w:eastAsia="Times New Roman" w:hAnsi="Arial" w:cs="Arial"/>
                <w:b/>
                <w:bCs/>
                <w:color w:val="404040" w:themeColor="text1" w:themeTint="BF"/>
                <w:sz w:val="16"/>
                <w:szCs w:val="16"/>
                <w:lang w:val="pt-PT" w:eastAsia="pl-PL"/>
              </w:rPr>
              <w:t>and</w:t>
            </w:r>
            <w:proofErr w:type="spellEnd"/>
            <w:r w:rsidRPr="00781F53">
              <w:rPr>
                <w:rFonts w:ascii="Arial" w:eastAsia="Times New Roman" w:hAnsi="Arial" w:cs="Arial"/>
                <w:b/>
                <w:bCs/>
                <w:color w:val="404040" w:themeColor="text1" w:themeTint="BF"/>
                <w:sz w:val="16"/>
                <w:szCs w:val="16"/>
                <w:lang w:val="pt-PT" w:eastAsia="pl-PL"/>
              </w:rPr>
              <w:t xml:space="preserve"> cash </w:t>
            </w:r>
            <w:proofErr w:type="spellStart"/>
            <w:r w:rsidRPr="00781F53">
              <w:rPr>
                <w:rFonts w:ascii="Arial" w:eastAsia="Times New Roman" w:hAnsi="Arial" w:cs="Arial"/>
                <w:b/>
                <w:bCs/>
                <w:color w:val="404040" w:themeColor="text1" w:themeTint="BF"/>
                <w:sz w:val="16"/>
                <w:szCs w:val="16"/>
                <w:lang w:val="pt-PT" w:eastAsia="pl-PL"/>
              </w:rPr>
              <w:t>equivalents</w:t>
            </w:r>
            <w:proofErr w:type="spellEnd"/>
          </w:p>
        </w:tc>
        <w:tc>
          <w:tcPr>
            <w:tcW w:w="1740" w:type="dxa"/>
            <w:tcBorders>
              <w:top w:val="nil"/>
              <w:left w:val="nil"/>
              <w:bottom w:val="nil"/>
              <w:right w:val="nil"/>
            </w:tcBorders>
            <w:shd w:val="clear" w:color="auto" w:fill="D9D9D9" w:themeFill="background1" w:themeFillShade="D9"/>
          </w:tcPr>
          <w:p w14:paraId="15AD123D" w14:textId="24645874" w:rsidR="00E1045F" w:rsidRPr="00781F53" w:rsidRDefault="00E1045F"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351.0</w:t>
            </w:r>
          </w:p>
        </w:tc>
        <w:tc>
          <w:tcPr>
            <w:tcW w:w="1680" w:type="dxa"/>
            <w:tcBorders>
              <w:top w:val="nil"/>
              <w:left w:val="nil"/>
              <w:bottom w:val="nil"/>
              <w:right w:val="nil"/>
            </w:tcBorders>
            <w:shd w:val="clear" w:color="auto" w:fill="D9D9D9" w:themeFill="background1" w:themeFillShade="D9"/>
          </w:tcPr>
          <w:p w14:paraId="2BA15952" w14:textId="38A21243" w:rsidR="00E1045F" w:rsidRPr="00781F53" w:rsidRDefault="00E1045F" w:rsidP="00781F53">
            <w:pPr>
              <w:spacing w:line="276" w:lineRule="auto"/>
              <w:jc w:val="center"/>
              <w:rPr>
                <w:rFonts w:ascii="Arial" w:eastAsia="Times New Roman" w:hAnsi="Arial" w:cs="Arial"/>
                <w:b/>
                <w:bCs/>
                <w:color w:val="404040" w:themeColor="text1" w:themeTint="BF"/>
                <w:sz w:val="16"/>
                <w:szCs w:val="16"/>
                <w:lang w:val="pt-PT" w:eastAsia="pl-PL"/>
              </w:rPr>
            </w:pPr>
            <w:r w:rsidRPr="00781F53">
              <w:rPr>
                <w:rFonts w:ascii="Arial" w:eastAsia="Times New Roman" w:hAnsi="Arial" w:cs="Arial"/>
                <w:b/>
                <w:bCs/>
                <w:color w:val="404040" w:themeColor="text1" w:themeTint="BF"/>
                <w:sz w:val="16"/>
                <w:szCs w:val="16"/>
                <w:lang w:val="pt-PT" w:eastAsia="pl-PL"/>
              </w:rPr>
              <w:t>30.4</w:t>
            </w:r>
          </w:p>
        </w:tc>
      </w:tr>
      <w:tr w:rsidR="00E1045F" w:rsidRPr="00781F53" w14:paraId="20ECEA3D" w14:textId="77777777" w:rsidTr="4A94AE94">
        <w:trPr>
          <w:trHeight w:val="127"/>
        </w:trPr>
        <w:tc>
          <w:tcPr>
            <w:tcW w:w="5080" w:type="dxa"/>
            <w:tcBorders>
              <w:top w:val="nil"/>
              <w:left w:val="nil"/>
              <w:bottom w:val="nil"/>
              <w:right w:val="nil"/>
            </w:tcBorders>
            <w:shd w:val="clear" w:color="auto" w:fill="FFFFFF" w:themeFill="background1"/>
          </w:tcPr>
          <w:p w14:paraId="73B4A2FD" w14:textId="3303BE93" w:rsidR="00E1045F" w:rsidRPr="00781F53" w:rsidRDefault="00E1045F"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Cash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cash </w:t>
            </w:r>
            <w:proofErr w:type="spellStart"/>
            <w:r w:rsidRPr="00781F53">
              <w:rPr>
                <w:rFonts w:ascii="Arial" w:eastAsia="Times New Roman" w:hAnsi="Arial" w:cs="Arial"/>
                <w:color w:val="404040" w:themeColor="text1" w:themeTint="BF"/>
                <w:sz w:val="16"/>
                <w:szCs w:val="16"/>
                <w:lang w:val="pt-PT" w:eastAsia="pl-PL"/>
              </w:rPr>
              <w:t>equivalents</w:t>
            </w:r>
            <w:proofErr w:type="spellEnd"/>
            <w:r w:rsidRPr="00781F53">
              <w:rPr>
                <w:rFonts w:ascii="Arial" w:eastAsia="Times New Roman" w:hAnsi="Arial" w:cs="Arial"/>
                <w:color w:val="404040" w:themeColor="text1" w:themeTint="BF"/>
                <w:sz w:val="16"/>
                <w:szCs w:val="16"/>
                <w:lang w:val="pt-PT" w:eastAsia="pl-PL"/>
              </w:rPr>
              <w:t xml:space="preserve"> at 1 </w:t>
            </w:r>
            <w:proofErr w:type="spellStart"/>
            <w:r w:rsidRPr="00781F53">
              <w:rPr>
                <w:rFonts w:ascii="Arial" w:eastAsia="Times New Roman" w:hAnsi="Arial" w:cs="Arial"/>
                <w:color w:val="404040" w:themeColor="text1" w:themeTint="BF"/>
                <w:sz w:val="16"/>
                <w:szCs w:val="16"/>
                <w:lang w:val="pt-PT" w:eastAsia="pl-PL"/>
              </w:rPr>
              <w:t>January</w:t>
            </w:r>
            <w:proofErr w:type="spellEnd"/>
          </w:p>
        </w:tc>
        <w:tc>
          <w:tcPr>
            <w:tcW w:w="1740" w:type="dxa"/>
            <w:tcBorders>
              <w:top w:val="nil"/>
              <w:left w:val="nil"/>
              <w:bottom w:val="nil"/>
              <w:right w:val="nil"/>
            </w:tcBorders>
            <w:shd w:val="clear" w:color="auto" w:fill="FFFFFF" w:themeFill="background1"/>
          </w:tcPr>
          <w:p w14:paraId="73DDB546" w14:textId="3CA3700D"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144.2</w:t>
            </w:r>
          </w:p>
        </w:tc>
        <w:tc>
          <w:tcPr>
            <w:tcW w:w="1680" w:type="dxa"/>
            <w:tcBorders>
              <w:top w:val="nil"/>
              <w:left w:val="nil"/>
              <w:bottom w:val="nil"/>
              <w:right w:val="nil"/>
            </w:tcBorders>
            <w:shd w:val="clear" w:color="auto" w:fill="FFFFFF" w:themeFill="background1"/>
          </w:tcPr>
          <w:p w14:paraId="1B8037E4" w14:textId="650E8926"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113.0</w:t>
            </w:r>
          </w:p>
        </w:tc>
      </w:tr>
      <w:tr w:rsidR="00E1045F" w:rsidRPr="00781F53" w14:paraId="47DE3AC5" w14:textId="77777777" w:rsidTr="4A94AE94">
        <w:trPr>
          <w:trHeight w:val="127"/>
        </w:trPr>
        <w:tc>
          <w:tcPr>
            <w:tcW w:w="5080" w:type="dxa"/>
            <w:tcBorders>
              <w:top w:val="nil"/>
              <w:left w:val="nil"/>
              <w:bottom w:val="nil"/>
              <w:right w:val="nil"/>
            </w:tcBorders>
            <w:shd w:val="clear" w:color="auto" w:fill="FFFFFF" w:themeFill="background1"/>
          </w:tcPr>
          <w:p w14:paraId="3BE2F9C8" w14:textId="48567160" w:rsidR="00E1045F" w:rsidRPr="00781F53" w:rsidRDefault="00E1045F" w:rsidP="00781F53">
            <w:pPr>
              <w:spacing w:line="276" w:lineRule="auto"/>
              <w:ind w:firstLineChars="200" w:firstLine="320"/>
              <w:rPr>
                <w:rFonts w:ascii="Arial" w:eastAsia="Times New Roman" w:hAnsi="Arial" w:cs="Arial"/>
                <w:color w:val="404040" w:themeColor="text1" w:themeTint="BF"/>
                <w:sz w:val="16"/>
                <w:szCs w:val="16"/>
                <w:lang w:val="pt-PT" w:eastAsia="pl-PL"/>
              </w:rPr>
            </w:pPr>
            <w:proofErr w:type="spellStart"/>
            <w:r w:rsidRPr="00781F53">
              <w:rPr>
                <w:rFonts w:ascii="Arial" w:eastAsia="Times New Roman" w:hAnsi="Arial" w:cs="Arial"/>
                <w:color w:val="404040" w:themeColor="text1" w:themeTint="BF"/>
                <w:sz w:val="16"/>
                <w:szCs w:val="16"/>
                <w:lang w:val="pt-PT" w:eastAsia="pl-PL"/>
              </w:rPr>
              <w:t>Effect</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of</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movements</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in</w:t>
            </w:r>
            <w:proofErr w:type="spell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exchange</w:t>
            </w:r>
            <w:proofErr w:type="spellEnd"/>
            <w:r w:rsidRPr="00781F53">
              <w:rPr>
                <w:rFonts w:ascii="Arial" w:eastAsia="Times New Roman" w:hAnsi="Arial" w:cs="Arial"/>
                <w:color w:val="404040" w:themeColor="text1" w:themeTint="BF"/>
                <w:sz w:val="16"/>
                <w:szCs w:val="16"/>
                <w:lang w:val="pt-PT" w:eastAsia="pl-PL"/>
              </w:rPr>
              <w:t xml:space="preserve"> </w:t>
            </w:r>
            <w:proofErr w:type="gramStart"/>
            <w:r w:rsidRPr="00781F53">
              <w:rPr>
                <w:rFonts w:ascii="Arial" w:eastAsia="Times New Roman" w:hAnsi="Arial" w:cs="Arial"/>
                <w:color w:val="404040" w:themeColor="text1" w:themeTint="BF"/>
                <w:sz w:val="16"/>
                <w:szCs w:val="16"/>
                <w:lang w:val="pt-PT" w:eastAsia="pl-PL"/>
              </w:rPr>
              <w:t>rates</w:t>
            </w:r>
            <w:proofErr w:type="gramEnd"/>
            <w:r w:rsidRPr="00781F53">
              <w:rPr>
                <w:rFonts w:ascii="Arial" w:eastAsia="Times New Roman" w:hAnsi="Arial" w:cs="Arial"/>
                <w:color w:val="404040" w:themeColor="text1" w:themeTint="BF"/>
                <w:sz w:val="16"/>
                <w:szCs w:val="16"/>
                <w:lang w:val="pt-PT" w:eastAsia="pl-PL"/>
              </w:rPr>
              <w:t xml:space="preserve"> </w:t>
            </w:r>
            <w:proofErr w:type="spellStart"/>
            <w:r w:rsidRPr="00781F53">
              <w:rPr>
                <w:rFonts w:ascii="Arial" w:eastAsia="Times New Roman" w:hAnsi="Arial" w:cs="Arial"/>
                <w:color w:val="404040" w:themeColor="text1" w:themeTint="BF"/>
                <w:sz w:val="16"/>
                <w:szCs w:val="16"/>
                <w:lang w:val="pt-PT" w:eastAsia="pl-PL"/>
              </w:rPr>
              <w:t>on</w:t>
            </w:r>
            <w:proofErr w:type="spellEnd"/>
            <w:r w:rsidRPr="00781F53">
              <w:rPr>
                <w:rFonts w:ascii="Arial" w:eastAsia="Times New Roman" w:hAnsi="Arial" w:cs="Arial"/>
                <w:color w:val="404040" w:themeColor="text1" w:themeTint="BF"/>
                <w:sz w:val="16"/>
                <w:szCs w:val="16"/>
                <w:lang w:val="pt-PT" w:eastAsia="pl-PL"/>
              </w:rPr>
              <w:t xml:space="preserve"> cash </w:t>
            </w:r>
            <w:proofErr w:type="spellStart"/>
            <w:r w:rsidRPr="00781F53">
              <w:rPr>
                <w:rFonts w:ascii="Arial" w:eastAsia="Times New Roman" w:hAnsi="Arial" w:cs="Arial"/>
                <w:color w:val="404040" w:themeColor="text1" w:themeTint="BF"/>
                <w:sz w:val="16"/>
                <w:szCs w:val="16"/>
                <w:lang w:val="pt-PT" w:eastAsia="pl-PL"/>
              </w:rPr>
              <w:t>held</w:t>
            </w:r>
            <w:proofErr w:type="spellEnd"/>
          </w:p>
        </w:tc>
        <w:tc>
          <w:tcPr>
            <w:tcW w:w="1740" w:type="dxa"/>
            <w:tcBorders>
              <w:top w:val="nil"/>
              <w:left w:val="nil"/>
              <w:bottom w:val="nil"/>
              <w:right w:val="nil"/>
            </w:tcBorders>
            <w:shd w:val="clear" w:color="auto" w:fill="FFFFFF" w:themeFill="background1"/>
          </w:tcPr>
          <w:p w14:paraId="0D953C69" w14:textId="69A5B5A5"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(2.0)</w:t>
            </w:r>
          </w:p>
        </w:tc>
        <w:tc>
          <w:tcPr>
            <w:tcW w:w="1680" w:type="dxa"/>
            <w:tcBorders>
              <w:top w:val="nil"/>
              <w:left w:val="nil"/>
              <w:bottom w:val="nil"/>
              <w:right w:val="nil"/>
            </w:tcBorders>
            <w:shd w:val="clear" w:color="auto" w:fill="FFFFFF" w:themeFill="background1"/>
          </w:tcPr>
          <w:p w14:paraId="313B37F3" w14:textId="79B05C41"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0.8</w:t>
            </w:r>
          </w:p>
        </w:tc>
      </w:tr>
      <w:tr w:rsidR="00E1045F" w:rsidRPr="00781F53" w14:paraId="7A7A1CC9" w14:textId="77777777" w:rsidTr="4A94AE94">
        <w:trPr>
          <w:trHeight w:val="127"/>
        </w:trPr>
        <w:tc>
          <w:tcPr>
            <w:tcW w:w="5080" w:type="dxa"/>
            <w:tcBorders>
              <w:top w:val="nil"/>
              <w:left w:val="nil"/>
              <w:bottom w:val="nil"/>
              <w:right w:val="nil"/>
            </w:tcBorders>
            <w:shd w:val="clear" w:color="auto" w:fill="FFFFFF" w:themeFill="background1"/>
          </w:tcPr>
          <w:p w14:paraId="33817B12" w14:textId="41AD37CD" w:rsidR="00E1045F" w:rsidRPr="00781F53" w:rsidRDefault="00E1045F" w:rsidP="00781F53">
            <w:pPr>
              <w:spacing w:line="276" w:lineRule="auto"/>
              <w:ind w:firstLineChars="200" w:firstLine="320"/>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 xml:space="preserve">Cash </w:t>
            </w:r>
            <w:proofErr w:type="spellStart"/>
            <w:r w:rsidRPr="00781F53">
              <w:rPr>
                <w:rFonts w:ascii="Arial" w:eastAsia="Times New Roman" w:hAnsi="Arial" w:cs="Arial"/>
                <w:color w:val="404040" w:themeColor="text1" w:themeTint="BF"/>
                <w:sz w:val="16"/>
                <w:szCs w:val="16"/>
                <w:lang w:val="pt-PT" w:eastAsia="pl-PL"/>
              </w:rPr>
              <w:t>and</w:t>
            </w:r>
            <w:proofErr w:type="spellEnd"/>
            <w:r w:rsidRPr="00781F53">
              <w:rPr>
                <w:rFonts w:ascii="Arial" w:eastAsia="Times New Roman" w:hAnsi="Arial" w:cs="Arial"/>
                <w:color w:val="404040" w:themeColor="text1" w:themeTint="BF"/>
                <w:sz w:val="16"/>
                <w:szCs w:val="16"/>
                <w:lang w:val="pt-PT" w:eastAsia="pl-PL"/>
              </w:rPr>
              <w:t xml:space="preserve"> cash </w:t>
            </w:r>
            <w:proofErr w:type="spellStart"/>
            <w:r w:rsidRPr="00781F53">
              <w:rPr>
                <w:rFonts w:ascii="Arial" w:eastAsia="Times New Roman" w:hAnsi="Arial" w:cs="Arial"/>
                <w:color w:val="404040" w:themeColor="text1" w:themeTint="BF"/>
                <w:sz w:val="16"/>
                <w:szCs w:val="16"/>
                <w:lang w:val="pt-PT" w:eastAsia="pl-PL"/>
              </w:rPr>
              <w:t>equivalents</w:t>
            </w:r>
            <w:proofErr w:type="spellEnd"/>
            <w:r w:rsidRPr="00781F53">
              <w:rPr>
                <w:rFonts w:ascii="Arial" w:eastAsia="Times New Roman" w:hAnsi="Arial" w:cs="Arial"/>
                <w:color w:val="404040" w:themeColor="text1" w:themeTint="BF"/>
                <w:sz w:val="16"/>
                <w:szCs w:val="16"/>
                <w:lang w:val="pt-PT" w:eastAsia="pl-PL"/>
              </w:rPr>
              <w:t xml:space="preserve"> at </w:t>
            </w:r>
            <w:proofErr w:type="spellStart"/>
            <w:r w:rsidRPr="00781F53">
              <w:rPr>
                <w:rFonts w:ascii="Arial" w:eastAsia="Times New Roman" w:hAnsi="Arial" w:cs="Arial"/>
                <w:color w:val="404040" w:themeColor="text1" w:themeTint="BF"/>
                <w:sz w:val="16"/>
                <w:szCs w:val="16"/>
                <w:lang w:val="pt-PT" w:eastAsia="pl-PL"/>
              </w:rPr>
              <w:t>December</w:t>
            </w:r>
            <w:proofErr w:type="spellEnd"/>
            <w:r w:rsidRPr="00781F53">
              <w:rPr>
                <w:rFonts w:ascii="Arial" w:eastAsia="Times New Roman" w:hAnsi="Arial" w:cs="Arial"/>
                <w:color w:val="404040" w:themeColor="text1" w:themeTint="BF"/>
                <w:sz w:val="16"/>
                <w:szCs w:val="16"/>
                <w:lang w:val="pt-PT" w:eastAsia="pl-PL"/>
              </w:rPr>
              <w:t xml:space="preserve"> 31</w:t>
            </w:r>
          </w:p>
        </w:tc>
        <w:tc>
          <w:tcPr>
            <w:tcW w:w="1740" w:type="dxa"/>
            <w:tcBorders>
              <w:top w:val="nil"/>
              <w:left w:val="nil"/>
              <w:bottom w:val="nil"/>
              <w:right w:val="nil"/>
            </w:tcBorders>
            <w:shd w:val="clear" w:color="auto" w:fill="FFFFFF" w:themeFill="background1"/>
          </w:tcPr>
          <w:p w14:paraId="095B43C6" w14:textId="7DD02790"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493.2</w:t>
            </w:r>
          </w:p>
        </w:tc>
        <w:tc>
          <w:tcPr>
            <w:tcW w:w="1680" w:type="dxa"/>
            <w:tcBorders>
              <w:top w:val="nil"/>
              <w:left w:val="nil"/>
              <w:bottom w:val="nil"/>
              <w:right w:val="nil"/>
            </w:tcBorders>
            <w:shd w:val="clear" w:color="auto" w:fill="FFFFFF" w:themeFill="background1"/>
          </w:tcPr>
          <w:p w14:paraId="0D43BB6E" w14:textId="358ACC8E" w:rsidR="00E1045F" w:rsidRPr="00781F53" w:rsidRDefault="00E1045F" w:rsidP="00781F53">
            <w:pPr>
              <w:spacing w:line="276" w:lineRule="auto"/>
              <w:ind w:firstLine="320"/>
              <w:jc w:val="center"/>
              <w:rPr>
                <w:rFonts w:ascii="Arial" w:eastAsia="Times New Roman" w:hAnsi="Arial" w:cs="Arial"/>
                <w:color w:val="404040" w:themeColor="text1" w:themeTint="BF"/>
                <w:sz w:val="16"/>
                <w:szCs w:val="16"/>
                <w:lang w:val="pt-PT" w:eastAsia="pl-PL"/>
              </w:rPr>
            </w:pPr>
            <w:r w:rsidRPr="00781F53">
              <w:rPr>
                <w:rFonts w:ascii="Arial" w:eastAsia="Times New Roman" w:hAnsi="Arial" w:cs="Arial"/>
                <w:color w:val="404040" w:themeColor="text1" w:themeTint="BF"/>
                <w:sz w:val="16"/>
                <w:szCs w:val="16"/>
                <w:lang w:val="pt-PT" w:eastAsia="pl-PL"/>
              </w:rPr>
              <w:t>144.2</w:t>
            </w:r>
          </w:p>
        </w:tc>
      </w:tr>
    </w:tbl>
    <w:p w14:paraId="34646A36" w14:textId="77777777" w:rsidR="00055D00" w:rsidRPr="00781F53" w:rsidRDefault="00055D00" w:rsidP="00781F53">
      <w:pPr>
        <w:widowControl/>
        <w:spacing w:after="160" w:line="276" w:lineRule="auto"/>
        <w:rPr>
          <w:rFonts w:ascii="Arial" w:hAnsi="Arial" w:cs="Arial"/>
          <w:color w:val="404040" w:themeColor="text1" w:themeTint="BF"/>
          <w:sz w:val="18"/>
          <w:szCs w:val="18"/>
          <w:lang w:val="pt-PT"/>
        </w:rPr>
      </w:pPr>
    </w:p>
    <w:p w14:paraId="66D637EB" w14:textId="77777777" w:rsidR="00C7017F" w:rsidRPr="00781F53" w:rsidRDefault="00C7017F" w:rsidP="00781F53">
      <w:pPr>
        <w:widowControl/>
        <w:spacing w:after="160" w:line="276" w:lineRule="auto"/>
        <w:rPr>
          <w:rFonts w:ascii="Arial" w:hAnsi="Arial" w:cs="Arial"/>
          <w:b/>
          <w:bCs/>
          <w:sz w:val="20"/>
          <w:szCs w:val="20"/>
          <w:lang w:val="pt-PT"/>
        </w:rPr>
      </w:pPr>
    </w:p>
    <w:p w14:paraId="0C617F58" w14:textId="6298258D" w:rsidR="001A65B4" w:rsidRPr="00781F53" w:rsidRDefault="001A65B4" w:rsidP="00781F53">
      <w:pPr>
        <w:widowControl/>
        <w:spacing w:after="160" w:line="276" w:lineRule="auto"/>
        <w:rPr>
          <w:rFonts w:ascii="Arial" w:hAnsi="Arial" w:cs="Arial"/>
          <w:b/>
          <w:bCs/>
          <w:color w:val="404040" w:themeColor="text1" w:themeTint="BF"/>
          <w:sz w:val="20"/>
          <w:szCs w:val="20"/>
          <w:lang w:val="pt-PT"/>
        </w:rPr>
      </w:pPr>
      <w:r w:rsidRPr="00781F53">
        <w:rPr>
          <w:rFonts w:ascii="Arial" w:hAnsi="Arial" w:cs="Arial"/>
          <w:b/>
          <w:bCs/>
          <w:color w:val="404040" w:themeColor="text1" w:themeTint="BF"/>
          <w:sz w:val="20"/>
          <w:szCs w:val="20"/>
          <w:lang w:val="pt-PT"/>
        </w:rPr>
        <w:br w:type="page"/>
      </w:r>
    </w:p>
    <w:p w14:paraId="6656347C" w14:textId="474F4532" w:rsidR="00880D43" w:rsidRPr="00781F53" w:rsidRDefault="004C019C" w:rsidP="00781F53">
      <w:pPr>
        <w:spacing w:beforeAutospacing="1" w:after="120" w:line="276" w:lineRule="auto"/>
        <w:ind w:left="-714"/>
        <w:rPr>
          <w:rFonts w:ascii="Arial" w:hAnsi="Arial" w:cs="Arial"/>
          <w:b/>
          <w:color w:val="404040" w:themeColor="text1" w:themeTint="BF"/>
          <w:sz w:val="20"/>
          <w:szCs w:val="20"/>
          <w:lang w:val="pt-PT"/>
        </w:rPr>
      </w:pPr>
      <w:r>
        <w:rPr>
          <w:rFonts w:ascii="Arial" w:hAnsi="Arial" w:cs="Arial"/>
          <w:b/>
          <w:color w:val="404040" w:themeColor="text1" w:themeTint="BF"/>
          <w:sz w:val="20"/>
          <w:szCs w:val="20"/>
          <w:lang w:val="pt-PT"/>
        </w:rPr>
        <w:t xml:space="preserve">Sobre a </w:t>
      </w:r>
      <w:proofErr w:type="spellStart"/>
      <w:r w:rsidR="00880D43" w:rsidRPr="00781F53">
        <w:rPr>
          <w:rFonts w:ascii="Arial" w:hAnsi="Arial" w:cs="Arial"/>
          <w:b/>
          <w:color w:val="404040" w:themeColor="text1" w:themeTint="BF"/>
          <w:sz w:val="20"/>
          <w:szCs w:val="20"/>
          <w:lang w:val="pt-PT"/>
        </w:rPr>
        <w:t>InPost</w:t>
      </w:r>
      <w:proofErr w:type="spellEnd"/>
      <w:r w:rsidR="00880D43" w:rsidRPr="00781F53">
        <w:rPr>
          <w:rFonts w:ascii="Arial" w:hAnsi="Arial" w:cs="Arial"/>
          <w:b/>
          <w:color w:val="404040" w:themeColor="text1" w:themeTint="BF"/>
          <w:sz w:val="20"/>
          <w:szCs w:val="20"/>
          <w:lang w:val="pt-PT"/>
        </w:rPr>
        <w:t xml:space="preserve"> S.A.</w:t>
      </w:r>
    </w:p>
    <w:p w14:paraId="39749835" w14:textId="5B88D8BC" w:rsidR="004C019C" w:rsidRPr="004C019C" w:rsidRDefault="004C019C" w:rsidP="004C019C">
      <w:pPr>
        <w:spacing w:before="120" w:after="120" w:line="276" w:lineRule="auto"/>
        <w:ind w:left="-714"/>
        <w:rPr>
          <w:rFonts w:ascii="Arial" w:hAnsi="Arial" w:cs="Arial"/>
          <w:color w:val="404040"/>
          <w:sz w:val="16"/>
          <w:szCs w:val="16"/>
          <w:lang w:val="pt-PT"/>
        </w:rPr>
      </w:pPr>
      <w:r>
        <w:rPr>
          <w:rFonts w:ascii="Arial" w:hAnsi="Arial" w:cs="Arial"/>
          <w:color w:val="404040"/>
          <w:sz w:val="16"/>
          <w:szCs w:val="16"/>
          <w:lang w:val="pt-PT"/>
        </w:rPr>
        <w:t xml:space="preserve">A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(Euronext </w:t>
      </w:r>
      <w:proofErr w:type="spellStart"/>
      <w:r w:rsidRPr="004C019C">
        <w:rPr>
          <w:rFonts w:ascii="Arial" w:hAnsi="Arial" w:cs="Arial"/>
          <w:color w:val="404040"/>
          <w:sz w:val="16"/>
          <w:szCs w:val="16"/>
          <w:lang w:val="pt-PT"/>
        </w:rPr>
        <w:t>Amsterdam</w:t>
      </w:r>
      <w:proofErr w:type="spellEnd"/>
      <w:r w:rsidRPr="004C019C">
        <w:rPr>
          <w:rFonts w:ascii="Arial" w:hAnsi="Arial" w:cs="Arial"/>
          <w:color w:val="404040"/>
          <w:sz w:val="16"/>
          <w:szCs w:val="16"/>
          <w:lang w:val="pt-PT"/>
        </w:rPr>
        <w:t xml:space="preserve">: INPST) é a principal plataforma de </w:t>
      </w:r>
      <w:r>
        <w:rPr>
          <w:rFonts w:ascii="Arial" w:hAnsi="Arial" w:cs="Arial"/>
          <w:color w:val="404040"/>
          <w:sz w:val="16"/>
          <w:szCs w:val="16"/>
          <w:lang w:val="pt-PT"/>
        </w:rPr>
        <w:t xml:space="preserve">suporte para </w:t>
      </w:r>
      <w:r w:rsidRPr="004C019C">
        <w:rPr>
          <w:rFonts w:ascii="Arial" w:hAnsi="Arial" w:cs="Arial"/>
          <w:color w:val="404040"/>
          <w:sz w:val="16"/>
          <w:szCs w:val="16"/>
          <w:lang w:val="pt-PT"/>
        </w:rPr>
        <w:t xml:space="preserve">comércio eletrónico fora de casa na Europa. Fundada em 1999 por </w:t>
      </w:r>
      <w:proofErr w:type="spellStart"/>
      <w:r w:rsidRPr="004C019C">
        <w:rPr>
          <w:rFonts w:ascii="Arial" w:hAnsi="Arial" w:cs="Arial"/>
          <w:color w:val="404040"/>
          <w:sz w:val="16"/>
          <w:szCs w:val="16"/>
          <w:lang w:val="pt-PT"/>
        </w:rPr>
        <w:t>Rafal</w:t>
      </w:r>
      <w:proofErr w:type="spellEnd"/>
      <w:r w:rsidRPr="004C019C">
        <w:rPr>
          <w:rFonts w:ascii="Arial" w:hAnsi="Arial" w:cs="Arial"/>
          <w:color w:val="404040"/>
          <w:sz w:val="16"/>
          <w:szCs w:val="16"/>
          <w:lang w:val="pt-PT"/>
        </w:rPr>
        <w:t xml:space="preserve"> </w:t>
      </w:r>
      <w:proofErr w:type="spellStart"/>
      <w:r w:rsidRPr="004C019C">
        <w:rPr>
          <w:rFonts w:ascii="Arial" w:hAnsi="Arial" w:cs="Arial"/>
          <w:color w:val="404040"/>
          <w:sz w:val="16"/>
          <w:szCs w:val="16"/>
          <w:lang w:val="pt-PT"/>
        </w:rPr>
        <w:t>Brzoska</w:t>
      </w:r>
      <w:proofErr w:type="spellEnd"/>
      <w:r w:rsidRPr="004C019C">
        <w:rPr>
          <w:rFonts w:ascii="Arial" w:hAnsi="Arial" w:cs="Arial"/>
          <w:color w:val="404040"/>
          <w:sz w:val="16"/>
          <w:szCs w:val="16"/>
          <w:lang w:val="pt-PT"/>
        </w:rPr>
        <w:t xml:space="preserve"> na Polónia, </w:t>
      </w:r>
      <w:r>
        <w:rPr>
          <w:rFonts w:ascii="Arial" w:hAnsi="Arial" w:cs="Arial"/>
          <w:color w:val="404040"/>
          <w:sz w:val="16"/>
          <w:szCs w:val="16"/>
          <w:lang w:val="pt-PT"/>
        </w:rPr>
        <w:t xml:space="preserve">a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fornece serviços de entrega através da </w:t>
      </w:r>
      <w:r>
        <w:rPr>
          <w:rFonts w:ascii="Arial" w:hAnsi="Arial" w:cs="Arial"/>
          <w:color w:val="404040"/>
          <w:sz w:val="16"/>
          <w:szCs w:val="16"/>
          <w:lang w:val="pt-PT"/>
        </w:rPr>
        <w:t xml:space="preserve">sua </w:t>
      </w:r>
      <w:r w:rsidRPr="004C019C">
        <w:rPr>
          <w:rFonts w:ascii="Arial" w:hAnsi="Arial" w:cs="Arial"/>
          <w:color w:val="404040"/>
          <w:sz w:val="16"/>
          <w:szCs w:val="16"/>
          <w:lang w:val="pt-PT"/>
        </w:rPr>
        <w:t>rede de mais de 20.367 máquinas automáticas de encomendas (</w:t>
      </w:r>
      <w:r>
        <w:rPr>
          <w:rFonts w:ascii="Arial" w:hAnsi="Arial" w:cs="Arial"/>
          <w:color w:val="404040"/>
          <w:sz w:val="16"/>
          <w:szCs w:val="16"/>
          <w:lang w:val="pt-PT"/>
        </w:rPr>
        <w:t>“</w:t>
      </w:r>
      <w:proofErr w:type="spellStart"/>
      <w:r w:rsidRPr="004C019C">
        <w:rPr>
          <w:rFonts w:ascii="Arial" w:hAnsi="Arial" w:cs="Arial"/>
          <w:color w:val="404040"/>
          <w:sz w:val="16"/>
          <w:szCs w:val="16"/>
          <w:lang w:val="pt-PT"/>
        </w:rPr>
        <w:t>APMs</w:t>
      </w:r>
      <w:proofErr w:type="spellEnd"/>
      <w:r>
        <w:rPr>
          <w:rFonts w:ascii="Arial" w:hAnsi="Arial" w:cs="Arial"/>
          <w:color w:val="404040"/>
          <w:sz w:val="16"/>
          <w:szCs w:val="16"/>
          <w:lang w:val="pt-PT"/>
        </w:rPr>
        <w:t>”</w:t>
      </w:r>
      <w:r w:rsidRPr="004C019C">
        <w:rPr>
          <w:rFonts w:ascii="Arial" w:hAnsi="Arial" w:cs="Arial"/>
          <w:color w:val="404040"/>
          <w:sz w:val="16"/>
          <w:szCs w:val="16"/>
          <w:lang w:val="pt-PT"/>
        </w:rPr>
        <w:t xml:space="preserve">), incluindo mais de 3.609 no Reino Unido e Itália, bem como serviços de correio e encomendas para </w:t>
      </w:r>
      <w:r>
        <w:rPr>
          <w:rFonts w:ascii="Arial" w:hAnsi="Arial" w:cs="Arial"/>
          <w:color w:val="404040"/>
          <w:sz w:val="16"/>
          <w:szCs w:val="16"/>
          <w:lang w:val="pt-PT"/>
        </w:rPr>
        <w:t xml:space="preserve">lojas </w:t>
      </w:r>
      <w:r w:rsidRPr="004C019C">
        <w:rPr>
          <w:rFonts w:ascii="Arial" w:hAnsi="Arial" w:cs="Arial"/>
          <w:color w:val="404040"/>
          <w:sz w:val="16"/>
          <w:szCs w:val="16"/>
          <w:lang w:val="pt-PT"/>
        </w:rPr>
        <w:t xml:space="preserve">de comércio eletrónico. Estrategicamente posicionada no mercado do comércio eletrónico em rápido crescimento, a estratégia da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é ainda reforçada pelos </w:t>
      </w:r>
      <w:r>
        <w:rPr>
          <w:rFonts w:ascii="Arial" w:hAnsi="Arial" w:cs="Arial"/>
          <w:color w:val="404040"/>
          <w:sz w:val="16"/>
          <w:szCs w:val="16"/>
          <w:lang w:val="pt-PT"/>
        </w:rPr>
        <w:t xml:space="preserve">seus </w:t>
      </w:r>
      <w:r w:rsidRPr="004C019C">
        <w:rPr>
          <w:rFonts w:ascii="Arial" w:hAnsi="Arial" w:cs="Arial"/>
          <w:color w:val="404040"/>
          <w:sz w:val="16"/>
          <w:szCs w:val="16"/>
          <w:lang w:val="pt-PT"/>
        </w:rPr>
        <w:t xml:space="preserve">investimentos em tecnologia, bem como pelos benefícios do efeito </w:t>
      </w:r>
      <w:r>
        <w:rPr>
          <w:rFonts w:ascii="Arial" w:hAnsi="Arial" w:cs="Arial"/>
          <w:color w:val="404040"/>
          <w:sz w:val="16"/>
          <w:szCs w:val="16"/>
          <w:lang w:val="pt-PT"/>
        </w:rPr>
        <w:t>“</w:t>
      </w:r>
      <w:proofErr w:type="spellStart"/>
      <w:r w:rsidRPr="004C019C">
        <w:rPr>
          <w:rFonts w:ascii="Arial" w:hAnsi="Arial" w:cs="Arial"/>
          <w:color w:val="404040"/>
          <w:sz w:val="16"/>
          <w:szCs w:val="16"/>
          <w:lang w:val="pt-PT"/>
        </w:rPr>
        <w:t>flywheel</w:t>
      </w:r>
      <w:proofErr w:type="spellEnd"/>
      <w:r>
        <w:rPr>
          <w:rFonts w:ascii="Arial" w:hAnsi="Arial" w:cs="Arial"/>
          <w:color w:val="404040"/>
          <w:sz w:val="16"/>
          <w:szCs w:val="16"/>
          <w:lang w:val="pt-PT"/>
        </w:rPr>
        <w:t>”</w:t>
      </w:r>
      <w:r w:rsidRPr="004C019C">
        <w:rPr>
          <w:rFonts w:ascii="Arial" w:hAnsi="Arial" w:cs="Arial"/>
          <w:color w:val="404040"/>
          <w:sz w:val="16"/>
          <w:szCs w:val="16"/>
          <w:lang w:val="pt-PT"/>
        </w:rPr>
        <w:t xml:space="preserve"> que proporcionam aos consumidores, comerciantes e ao planeta a melhor forma de entrega de última milha, de menor custo, mais conveniente e sustentável. Através dos </w:t>
      </w:r>
      <w:r>
        <w:rPr>
          <w:rFonts w:ascii="Arial" w:hAnsi="Arial" w:cs="Arial"/>
          <w:color w:val="404040"/>
          <w:sz w:val="16"/>
          <w:szCs w:val="16"/>
          <w:lang w:val="pt-PT"/>
        </w:rPr>
        <w:t xml:space="preserve">seus </w:t>
      </w:r>
      <w:r w:rsidRPr="004C019C">
        <w:rPr>
          <w:rFonts w:ascii="Arial" w:hAnsi="Arial" w:cs="Arial"/>
          <w:color w:val="404040"/>
          <w:sz w:val="16"/>
          <w:szCs w:val="16"/>
          <w:lang w:val="pt-PT"/>
        </w:rPr>
        <w:t xml:space="preserve">serviços de entrega, </w:t>
      </w:r>
      <w:r>
        <w:rPr>
          <w:rFonts w:ascii="Arial" w:hAnsi="Arial" w:cs="Arial"/>
          <w:color w:val="404040"/>
          <w:sz w:val="16"/>
          <w:szCs w:val="16"/>
          <w:lang w:val="pt-PT"/>
        </w:rPr>
        <w:t>a</w:t>
      </w:r>
      <w:r w:rsidRPr="004C019C">
        <w:rPr>
          <w:rFonts w:ascii="Arial" w:hAnsi="Arial" w:cs="Arial"/>
          <w:color w:val="404040"/>
          <w:sz w:val="16"/>
          <w:szCs w:val="16"/>
          <w:lang w:val="pt-PT"/>
        </w:rPr>
        <w:t xml:space="preserve">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está a criar uma solução mais ecológica para o comércio eletrónico, uma vez que as entregas APM reduzem as emissões de CO</w:t>
      </w:r>
      <w:r w:rsidRPr="004C019C">
        <w:rPr>
          <w:rFonts w:ascii="Arial" w:hAnsi="Arial" w:cs="Arial"/>
          <w:color w:val="404040"/>
          <w:sz w:val="16"/>
          <w:szCs w:val="16"/>
          <w:vertAlign w:val="superscript"/>
          <w:lang w:val="pt-PT"/>
        </w:rPr>
        <w:t>2</w:t>
      </w:r>
      <w:r w:rsidRPr="004C019C">
        <w:rPr>
          <w:rFonts w:ascii="Arial" w:hAnsi="Arial" w:cs="Arial"/>
          <w:color w:val="404040"/>
          <w:sz w:val="16"/>
          <w:szCs w:val="16"/>
          <w:lang w:val="pt-PT"/>
        </w:rPr>
        <w:t xml:space="preserve"> até dois terços em comparação com as entregas porta-a-porta nas zonas urbanas, e até 90% nas zonas rurais, </w:t>
      </w:r>
      <w:r>
        <w:rPr>
          <w:rFonts w:ascii="Arial" w:hAnsi="Arial" w:cs="Arial"/>
          <w:color w:val="404040"/>
          <w:sz w:val="16"/>
          <w:szCs w:val="16"/>
          <w:lang w:val="pt-PT"/>
        </w:rPr>
        <w:t xml:space="preserve">e </w:t>
      </w:r>
      <w:r w:rsidRPr="004C019C">
        <w:rPr>
          <w:rFonts w:ascii="Arial" w:hAnsi="Arial" w:cs="Arial"/>
          <w:color w:val="404040"/>
          <w:sz w:val="16"/>
          <w:szCs w:val="16"/>
          <w:lang w:val="pt-PT"/>
        </w:rPr>
        <w:t>reduzem significativamente o tráfego e a poluição sonora.</w:t>
      </w:r>
    </w:p>
    <w:p w14:paraId="48FFF5E8" w14:textId="77D1A1E9" w:rsidR="004C019C" w:rsidRPr="004C019C" w:rsidRDefault="004C019C" w:rsidP="004C019C">
      <w:pPr>
        <w:spacing w:before="120" w:after="120" w:line="276" w:lineRule="auto"/>
        <w:ind w:left="-714"/>
        <w:rPr>
          <w:rFonts w:ascii="Arial" w:hAnsi="Arial" w:cs="Arial"/>
          <w:color w:val="404040"/>
          <w:sz w:val="16"/>
          <w:szCs w:val="16"/>
          <w:lang w:val="pt-PT"/>
        </w:rPr>
      </w:pPr>
      <w:r w:rsidRPr="004C019C">
        <w:rPr>
          <w:rFonts w:ascii="Arial" w:hAnsi="Arial" w:cs="Arial"/>
          <w:color w:val="404040"/>
          <w:sz w:val="16"/>
          <w:szCs w:val="16"/>
          <w:lang w:val="pt-PT"/>
        </w:rPr>
        <w:t xml:space="preserve">Nos doze meses até 31 de </w:t>
      </w:r>
      <w:proofErr w:type="gramStart"/>
      <w:r w:rsidRPr="004C019C">
        <w:rPr>
          <w:rFonts w:ascii="Arial" w:hAnsi="Arial" w:cs="Arial"/>
          <w:color w:val="404040"/>
          <w:sz w:val="16"/>
          <w:szCs w:val="16"/>
          <w:lang w:val="pt-PT"/>
        </w:rPr>
        <w:t>Dezembro</w:t>
      </w:r>
      <w:proofErr w:type="gramEnd"/>
      <w:r w:rsidRPr="004C019C">
        <w:rPr>
          <w:rFonts w:ascii="Arial" w:hAnsi="Arial" w:cs="Arial"/>
          <w:color w:val="404040"/>
          <w:sz w:val="16"/>
          <w:szCs w:val="16"/>
          <w:lang w:val="pt-PT"/>
        </w:rPr>
        <w:t xml:space="preserve"> de 2021,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tratou 518 milhões de entregas de encomendas (609 milhões </w:t>
      </w:r>
      <w:proofErr w:type="spellStart"/>
      <w:r w:rsidRPr="004C019C">
        <w:rPr>
          <w:rFonts w:ascii="Arial" w:hAnsi="Arial" w:cs="Arial"/>
          <w:color w:val="404040"/>
          <w:sz w:val="16"/>
          <w:szCs w:val="16"/>
          <w:lang w:val="pt-PT"/>
        </w:rPr>
        <w:t>pr</w:t>
      </w:r>
      <w:r>
        <w:rPr>
          <w:rFonts w:ascii="Arial" w:hAnsi="Arial" w:cs="Arial"/>
          <w:color w:val="404040"/>
          <w:sz w:val="16"/>
          <w:szCs w:val="16"/>
          <w:lang w:val="pt-PT"/>
        </w:rPr>
        <w:t>o</w:t>
      </w:r>
      <w:r w:rsidRPr="004C019C">
        <w:rPr>
          <w:rFonts w:ascii="Arial" w:hAnsi="Arial" w:cs="Arial"/>
          <w:color w:val="404040"/>
          <w:sz w:val="16"/>
          <w:szCs w:val="16"/>
          <w:lang w:val="pt-PT"/>
        </w:rPr>
        <w:t>-forma</w:t>
      </w:r>
      <w:proofErr w:type="spellEnd"/>
      <w:r w:rsidRPr="004C019C">
        <w:rPr>
          <w:rFonts w:ascii="Arial" w:hAnsi="Arial" w:cs="Arial"/>
          <w:color w:val="404040"/>
          <w:sz w:val="16"/>
          <w:szCs w:val="16"/>
          <w:lang w:val="pt-PT"/>
        </w:rPr>
        <w:t xml:space="preserve">) através das suas redes na Polónia, França, Reino Unido, Itália, Benelux e </w:t>
      </w:r>
      <w:r>
        <w:rPr>
          <w:rFonts w:ascii="Arial" w:hAnsi="Arial" w:cs="Arial"/>
          <w:color w:val="404040"/>
          <w:sz w:val="16"/>
          <w:szCs w:val="16"/>
          <w:lang w:val="pt-PT"/>
        </w:rPr>
        <w:t>Península Ibérica</w:t>
      </w:r>
      <w:r w:rsidRPr="004C019C">
        <w:rPr>
          <w:rFonts w:ascii="Arial" w:hAnsi="Arial" w:cs="Arial"/>
          <w:color w:val="404040"/>
          <w:sz w:val="16"/>
          <w:szCs w:val="16"/>
          <w:lang w:val="pt-PT"/>
        </w:rPr>
        <w:t xml:space="preserve">, gerando 4.602 milhões de </w:t>
      </w:r>
      <w:r>
        <w:rPr>
          <w:rFonts w:ascii="Arial" w:hAnsi="Arial" w:cs="Arial"/>
          <w:color w:val="404040"/>
          <w:sz w:val="16"/>
          <w:szCs w:val="16"/>
          <w:lang w:val="pt-PT"/>
        </w:rPr>
        <w:t xml:space="preserve">zloty </w:t>
      </w:r>
      <w:r w:rsidRPr="004C019C">
        <w:rPr>
          <w:rFonts w:ascii="Arial" w:hAnsi="Arial" w:cs="Arial"/>
          <w:color w:val="404040"/>
          <w:sz w:val="16"/>
          <w:szCs w:val="16"/>
          <w:lang w:val="pt-PT"/>
        </w:rPr>
        <w:t xml:space="preserve">de receitas e outros proveitos operacionais e 1.626 milhões de </w:t>
      </w:r>
      <w:r>
        <w:rPr>
          <w:rFonts w:ascii="Arial" w:hAnsi="Arial" w:cs="Arial"/>
          <w:color w:val="404040"/>
          <w:sz w:val="16"/>
          <w:szCs w:val="16"/>
          <w:lang w:val="pt-PT"/>
        </w:rPr>
        <w:t xml:space="preserve">zloty </w:t>
      </w:r>
      <w:r w:rsidRPr="004C019C">
        <w:rPr>
          <w:rFonts w:ascii="Arial" w:hAnsi="Arial" w:cs="Arial"/>
          <w:color w:val="404040"/>
          <w:sz w:val="16"/>
          <w:szCs w:val="16"/>
          <w:lang w:val="pt-PT"/>
        </w:rPr>
        <w:t>de EBITDA ajustado.</w:t>
      </w:r>
    </w:p>
    <w:p w14:paraId="0246E1F5" w14:textId="620B4D67" w:rsidR="004C019C" w:rsidRDefault="004C019C" w:rsidP="004C019C">
      <w:pPr>
        <w:spacing w:before="120" w:after="120" w:line="276" w:lineRule="auto"/>
        <w:ind w:left="-714"/>
        <w:rPr>
          <w:rFonts w:ascii="Arial" w:hAnsi="Arial" w:cs="Arial"/>
          <w:color w:val="404040"/>
          <w:sz w:val="16"/>
          <w:szCs w:val="16"/>
          <w:lang w:val="pt-PT"/>
        </w:rPr>
      </w:pPr>
      <w:r w:rsidRPr="004C019C">
        <w:rPr>
          <w:rFonts w:ascii="Arial" w:hAnsi="Arial" w:cs="Arial"/>
          <w:color w:val="404040"/>
          <w:sz w:val="16"/>
          <w:szCs w:val="16"/>
          <w:lang w:val="pt-PT"/>
        </w:rPr>
        <w:t xml:space="preserve">Em </w:t>
      </w:r>
      <w:proofErr w:type="gramStart"/>
      <w:r w:rsidRPr="004C019C">
        <w:rPr>
          <w:rFonts w:ascii="Arial" w:hAnsi="Arial" w:cs="Arial"/>
          <w:color w:val="404040"/>
          <w:sz w:val="16"/>
          <w:szCs w:val="16"/>
          <w:lang w:val="pt-PT"/>
        </w:rPr>
        <w:t>Julho</w:t>
      </w:r>
      <w:proofErr w:type="gramEnd"/>
      <w:r w:rsidRPr="004C019C">
        <w:rPr>
          <w:rFonts w:ascii="Arial" w:hAnsi="Arial" w:cs="Arial"/>
          <w:color w:val="404040"/>
          <w:sz w:val="16"/>
          <w:szCs w:val="16"/>
          <w:lang w:val="pt-PT"/>
        </w:rPr>
        <w:t xml:space="preserve"> de 2021, a </w:t>
      </w:r>
      <w:proofErr w:type="spellStart"/>
      <w:r w:rsidRPr="004C019C">
        <w:rPr>
          <w:rFonts w:ascii="Arial" w:hAnsi="Arial" w:cs="Arial"/>
          <w:color w:val="404040"/>
          <w:sz w:val="16"/>
          <w:szCs w:val="16"/>
          <w:lang w:val="pt-PT"/>
        </w:rPr>
        <w:t>InPost</w:t>
      </w:r>
      <w:proofErr w:type="spellEnd"/>
      <w:r w:rsidRPr="004C019C">
        <w:rPr>
          <w:rFonts w:ascii="Arial" w:hAnsi="Arial" w:cs="Arial"/>
          <w:color w:val="404040"/>
          <w:sz w:val="16"/>
          <w:szCs w:val="16"/>
          <w:lang w:val="pt-PT"/>
        </w:rPr>
        <w:t xml:space="preserve"> concluiu com sucesso a aquisição da Mondial Relay para criar a solução automatizada líder da Europa para o comércio eletrónico fora de casa.</w:t>
      </w:r>
    </w:p>
    <w:p w14:paraId="511BA281" w14:textId="6E3EE063" w:rsidR="00880D43" w:rsidRPr="00781F53" w:rsidRDefault="00880D43" w:rsidP="00781F53">
      <w:pPr>
        <w:widowControl/>
        <w:autoSpaceDE/>
        <w:autoSpaceDN/>
        <w:spacing w:after="160" w:line="276" w:lineRule="auto"/>
        <w:rPr>
          <w:rFonts w:ascii="Arial" w:hAnsi="Arial" w:cs="Arial"/>
          <w:color w:val="404040"/>
          <w:sz w:val="16"/>
          <w:szCs w:val="16"/>
          <w:lang w:val="pt-PT"/>
        </w:rPr>
      </w:pPr>
    </w:p>
    <w:p w14:paraId="31297C5C" w14:textId="6BC5573C" w:rsidR="00880D43" w:rsidRPr="00781F53" w:rsidRDefault="00391B17" w:rsidP="00781F53">
      <w:pPr>
        <w:spacing w:before="100" w:beforeAutospacing="1" w:after="120" w:line="276" w:lineRule="auto"/>
        <w:ind w:left="-714"/>
        <w:rPr>
          <w:rFonts w:ascii="Arial" w:hAnsi="Arial" w:cs="Arial"/>
          <w:b/>
          <w:bCs/>
          <w:color w:val="404040"/>
          <w:sz w:val="20"/>
          <w:szCs w:val="20"/>
          <w:lang w:val="pt-PT"/>
        </w:rPr>
      </w:pPr>
      <w:r w:rsidRPr="00391B17">
        <w:rPr>
          <w:rFonts w:ascii="Arial" w:hAnsi="Arial" w:cs="Arial"/>
          <w:b/>
          <w:bCs/>
          <w:color w:val="404040"/>
          <w:sz w:val="20"/>
          <w:szCs w:val="20"/>
          <w:lang w:val="pt-PT"/>
        </w:rPr>
        <w:t xml:space="preserve">Declaração de exoneração de responsabilidade </w:t>
      </w:r>
      <w:r w:rsidR="00880D43" w:rsidRPr="00781F53">
        <w:rPr>
          <w:rFonts w:ascii="Arial" w:hAnsi="Arial" w:cs="Arial"/>
          <w:b/>
          <w:bCs/>
          <w:color w:val="404040"/>
          <w:sz w:val="20"/>
          <w:szCs w:val="20"/>
          <w:lang w:val="pt-PT"/>
        </w:rPr>
        <w:t xml:space="preserve"> </w:t>
      </w:r>
    </w:p>
    <w:p w14:paraId="72D03991" w14:textId="20FB10AA" w:rsidR="00391B17" w:rsidRPr="00391B17" w:rsidRDefault="00391B17" w:rsidP="00391B17">
      <w:pPr>
        <w:spacing w:before="120" w:after="120" w:line="276" w:lineRule="auto"/>
        <w:ind w:left="-714"/>
        <w:rPr>
          <w:rFonts w:ascii="Arial" w:hAnsi="Arial" w:cs="Arial"/>
          <w:color w:val="404040"/>
          <w:sz w:val="16"/>
          <w:szCs w:val="16"/>
          <w:lang w:val="pt-PT"/>
        </w:rPr>
      </w:pPr>
      <w:r w:rsidRPr="00391B17">
        <w:rPr>
          <w:rFonts w:ascii="Arial" w:hAnsi="Arial" w:cs="Arial"/>
          <w:color w:val="404040"/>
          <w:sz w:val="16"/>
          <w:szCs w:val="16"/>
          <w:lang w:val="pt-PT"/>
        </w:rPr>
        <w:t xml:space="preserve">Este comunicado de imprensa contém informações internas relacionadas com a Empresa </w:t>
      </w:r>
      <w:r>
        <w:rPr>
          <w:rFonts w:ascii="Arial" w:hAnsi="Arial" w:cs="Arial"/>
          <w:color w:val="404040"/>
          <w:sz w:val="16"/>
          <w:szCs w:val="16"/>
          <w:lang w:val="pt-PT"/>
        </w:rPr>
        <w:t xml:space="preserve">no contexto </w:t>
      </w:r>
      <w:r w:rsidRPr="00391B17">
        <w:rPr>
          <w:rFonts w:ascii="Arial" w:hAnsi="Arial" w:cs="Arial"/>
          <w:color w:val="404040"/>
          <w:sz w:val="16"/>
          <w:szCs w:val="16"/>
          <w:lang w:val="pt-PT"/>
        </w:rPr>
        <w:t xml:space="preserve">do artigo </w:t>
      </w:r>
      <w:proofErr w:type="gramStart"/>
      <w:r w:rsidRPr="00391B17">
        <w:rPr>
          <w:rFonts w:ascii="Arial" w:hAnsi="Arial" w:cs="Arial"/>
          <w:color w:val="404040"/>
          <w:sz w:val="16"/>
          <w:szCs w:val="16"/>
          <w:lang w:val="pt-PT"/>
        </w:rPr>
        <w:t>7(1</w:t>
      </w:r>
      <w:proofErr w:type="gramEnd"/>
      <w:r w:rsidRPr="00391B17">
        <w:rPr>
          <w:rFonts w:ascii="Arial" w:hAnsi="Arial" w:cs="Arial"/>
          <w:color w:val="404040"/>
          <w:sz w:val="16"/>
          <w:szCs w:val="16"/>
          <w:lang w:val="pt-PT"/>
        </w:rPr>
        <w:t>) do Regulamento de Abuso de Mercado da UE.</w:t>
      </w:r>
    </w:p>
    <w:p w14:paraId="393D67A3" w14:textId="679206B6" w:rsidR="00391B17" w:rsidRPr="00391B17" w:rsidRDefault="00391B17" w:rsidP="00391B17">
      <w:pPr>
        <w:spacing w:before="120" w:after="120" w:line="276" w:lineRule="auto"/>
        <w:ind w:left="-714"/>
        <w:rPr>
          <w:rFonts w:ascii="Arial" w:hAnsi="Arial" w:cs="Arial"/>
          <w:color w:val="404040"/>
          <w:sz w:val="16"/>
          <w:szCs w:val="16"/>
          <w:lang w:val="pt-PT"/>
        </w:rPr>
      </w:pPr>
      <w:r w:rsidRPr="00391B17">
        <w:rPr>
          <w:rFonts w:ascii="Arial" w:hAnsi="Arial" w:cs="Arial"/>
          <w:color w:val="404040"/>
          <w:sz w:val="16"/>
          <w:szCs w:val="16"/>
          <w:lang w:val="pt-PT"/>
        </w:rPr>
        <w:t>Este comunicado de imprensa contém declarações sobre o futuro. Para além dos resultados financeiros comunicados e da informação histórica, todas as declarações incluídas neste comunicado de imprensa incluindo, sem limitação, as relativas à nossa posição financeira, estratégia empresarial e planos e objetivos de gestão para operações futuras são, ou podem ser consideradas, declarações prospetivas que refletem os pontos de vista atuais da Empresa com respeito a eventos futuros e desempenho financeiro e operacional. Estas declarações prospetivas podem ser identificadas pela utilização de terminologia prospetiva, incluindo os termos ''acredita'', ''estima'', ''planeia'', ''projeta'', ''antecipa'', ''espera'', ''pretende'', ''poderá'', ''irá'' ou ''deverá'' ou, em cada caso, as suas variações negativas ou outras variações ou terminologia comparável</w:t>
      </w:r>
      <w:r w:rsidR="00310590">
        <w:rPr>
          <w:rFonts w:ascii="Arial" w:hAnsi="Arial" w:cs="Arial"/>
          <w:color w:val="404040"/>
          <w:sz w:val="16"/>
          <w:szCs w:val="16"/>
          <w:lang w:val="pt-PT"/>
        </w:rPr>
        <w:t>,</w:t>
      </w:r>
      <w:r w:rsidRPr="00391B17">
        <w:rPr>
          <w:rFonts w:ascii="Arial" w:hAnsi="Arial" w:cs="Arial"/>
          <w:color w:val="404040"/>
          <w:sz w:val="16"/>
          <w:szCs w:val="16"/>
          <w:lang w:val="pt-PT"/>
        </w:rPr>
        <w:t xml:space="preserve"> ou por discussões de estratégia, planos, objetivos, metas, eventos ou intenções futuras. Estas declarações prospetivas baseiam-se nas crenças, pressupostos e expectativas da Empresa relativamente a eventos futuros e tendências que afetam o desempenho futuro da Empresa, tendo em conta toda a informação atualmente disponível para a Empresa, e não constituem garantias de desempenho futuro. Pela sua natureza, as declarações prospetivas envolvem riscos e incertezas porque se relacionam com eventos e dependem de circunstâncias que podem ou não ocorrer no futuro, e a Empresa não pode garantir a exatidão e exaustividade das declarações prospetivas. Uma série de fatores importantes, nem todos conhecidos da Empresa ou que estão sob o seu controlo, podem fazer com que os resultados reais ou os resultados sejam materialmente diferentes daqueles expressos em qualquer declaração prospetiva em resultado dos riscos e incertezas com que a Empresa se depara. Os leitores são advertidos a não depositar confiança indevida nestas declarações prospetivas, que falam apenas a partir da data deste comunicado de imprensa e estão sujeitas a alterações sem aviso prévio. Para além do exigido pela lei aplicável ou pelas regras aplicáveis de qualquer bolsa de valores em que os nossos valores mobiliários possam ser negociados, não temos qualquer intenção ou obrigação de atualizar declarações relativas ao futuro.</w:t>
      </w:r>
    </w:p>
    <w:p w14:paraId="03BDAAB7" w14:textId="77777777" w:rsidR="00391B17" w:rsidRPr="00391B17" w:rsidRDefault="00391B17" w:rsidP="00391B17">
      <w:pPr>
        <w:spacing w:before="120" w:after="120" w:line="276" w:lineRule="auto"/>
        <w:ind w:left="-714"/>
        <w:rPr>
          <w:rFonts w:ascii="Arial" w:hAnsi="Arial" w:cs="Arial"/>
          <w:color w:val="404040"/>
          <w:sz w:val="16"/>
          <w:szCs w:val="16"/>
          <w:lang w:val="pt-PT"/>
        </w:rPr>
      </w:pPr>
      <w:r w:rsidRPr="00391B17">
        <w:rPr>
          <w:rFonts w:ascii="Arial" w:hAnsi="Arial" w:cs="Arial"/>
          <w:color w:val="404040"/>
          <w:sz w:val="16"/>
          <w:szCs w:val="16"/>
          <w:lang w:val="pt-PT"/>
        </w:rPr>
        <w:t>Os resultados financeiros comunicados são apresentados em Zloty polaco (PLN) e todos os valores são arredondados para o milhão mais próximo, salvo indicação em contrário. Como consequência, os montantes arredondados podem não somar o total arredondado em todos os casos.</w:t>
      </w:r>
    </w:p>
    <w:p w14:paraId="5AE5A3C2" w14:textId="3F2E5D2D" w:rsidR="00095D8F" w:rsidRPr="00781F53" w:rsidRDefault="00095D8F" w:rsidP="00781F53">
      <w:pPr>
        <w:spacing w:before="100" w:beforeAutospacing="1" w:after="100" w:afterAutospacing="1" w:line="276" w:lineRule="auto"/>
        <w:ind w:left="-714"/>
        <w:rPr>
          <w:rFonts w:ascii="Arial" w:hAnsi="Arial" w:cs="Arial"/>
          <w:b/>
          <w:color w:val="404040"/>
          <w:sz w:val="18"/>
          <w:szCs w:val="18"/>
          <w:lang w:val="pt-PT"/>
        </w:rPr>
      </w:pPr>
    </w:p>
    <w:p w14:paraId="533B7954" w14:textId="36E0FF2E" w:rsidR="00964198" w:rsidRPr="00781F53" w:rsidRDefault="00964198" w:rsidP="00781F53">
      <w:pPr>
        <w:spacing w:before="120" w:after="120" w:line="276" w:lineRule="auto"/>
        <w:ind w:left="-714"/>
        <w:rPr>
          <w:rFonts w:ascii="Arial" w:hAnsi="Arial" w:cs="Arial"/>
          <w:b/>
          <w:color w:val="404040"/>
          <w:sz w:val="18"/>
          <w:szCs w:val="18"/>
          <w:lang w:val="pt-PT"/>
        </w:rPr>
      </w:pPr>
      <w:proofErr w:type="spellStart"/>
      <w:r w:rsidRPr="00781F53">
        <w:rPr>
          <w:rFonts w:ascii="Arial" w:hAnsi="Arial" w:cs="Arial"/>
          <w:b/>
          <w:color w:val="404040"/>
          <w:sz w:val="18"/>
          <w:szCs w:val="18"/>
          <w:lang w:val="pt-PT"/>
        </w:rPr>
        <w:t>InPost</w:t>
      </w:r>
      <w:proofErr w:type="spellEnd"/>
      <w:r w:rsidR="00CD33BE" w:rsidRPr="00781F53">
        <w:rPr>
          <w:rFonts w:ascii="Arial" w:hAnsi="Arial" w:cs="Arial"/>
          <w:b/>
          <w:color w:val="404040"/>
          <w:sz w:val="18"/>
          <w:szCs w:val="18"/>
          <w:lang w:val="pt-PT"/>
        </w:rPr>
        <w:t xml:space="preserve"> S.A.</w:t>
      </w:r>
    </w:p>
    <w:p w14:paraId="4360E155" w14:textId="25C9015D" w:rsidR="00964198" w:rsidRDefault="00964198" w:rsidP="00781F53">
      <w:pPr>
        <w:spacing w:before="120" w:after="120" w:line="276" w:lineRule="auto"/>
        <w:ind w:left="-714"/>
        <w:rPr>
          <w:rFonts w:ascii="Arial" w:hAnsi="Arial" w:cs="Arial"/>
          <w:color w:val="404040" w:themeColor="text1" w:themeTint="BF"/>
          <w:sz w:val="18"/>
          <w:szCs w:val="18"/>
          <w:lang w:val="pt-PT"/>
        </w:rPr>
      </w:pPr>
      <w:r w:rsidRPr="00781F53">
        <w:rPr>
          <w:rFonts w:ascii="Arial" w:hAnsi="Arial" w:cs="Arial"/>
          <w:color w:val="404040"/>
          <w:sz w:val="18"/>
          <w:szCs w:val="18"/>
          <w:lang w:val="pt-PT"/>
        </w:rPr>
        <w:t xml:space="preserve">Mike Harris, </w:t>
      </w:r>
      <w:proofErr w:type="spellStart"/>
      <w:r w:rsidRPr="00781F53">
        <w:rPr>
          <w:rFonts w:ascii="Arial" w:hAnsi="Arial" w:cs="Arial"/>
          <w:color w:val="404040"/>
          <w:sz w:val="18"/>
          <w:szCs w:val="18"/>
          <w:lang w:val="pt-PT"/>
        </w:rPr>
        <w:t>Investor</w:t>
      </w:r>
      <w:proofErr w:type="spellEnd"/>
      <w:r w:rsidRPr="00781F53">
        <w:rPr>
          <w:rFonts w:ascii="Arial" w:hAnsi="Arial" w:cs="Arial"/>
          <w:color w:val="404040"/>
          <w:sz w:val="18"/>
          <w:szCs w:val="18"/>
          <w:lang w:val="pt-PT"/>
        </w:rPr>
        <w:t xml:space="preserve"> Relations</w:t>
      </w:r>
      <w:r w:rsidR="00391B17">
        <w:rPr>
          <w:rFonts w:ascii="Arial" w:hAnsi="Arial" w:cs="Arial"/>
          <w:color w:val="404040"/>
          <w:sz w:val="18"/>
          <w:szCs w:val="18"/>
          <w:lang w:val="pt-PT"/>
        </w:rPr>
        <w:br/>
      </w:r>
      <w:hyperlink r:id="rId15">
        <w:r w:rsidRPr="00781F53">
          <w:rPr>
            <w:rStyle w:val="Hiperligao"/>
            <w:rFonts w:ascii="Arial" w:hAnsi="Arial" w:cs="Arial"/>
            <w:color w:val="404040" w:themeColor="text1" w:themeTint="BF"/>
            <w:sz w:val="18"/>
            <w:szCs w:val="18"/>
            <w:lang w:val="pt-PT"/>
          </w:rPr>
          <w:t>mharris@inpost.eu</w:t>
        </w:r>
      </w:hyperlink>
      <w:r w:rsidRPr="00781F53">
        <w:rPr>
          <w:rFonts w:ascii="Arial" w:hAnsi="Arial" w:cs="Arial"/>
          <w:color w:val="404040" w:themeColor="text1" w:themeTint="BF"/>
          <w:sz w:val="18"/>
          <w:szCs w:val="18"/>
          <w:lang w:val="pt-PT"/>
        </w:rPr>
        <w:t xml:space="preserve"> </w:t>
      </w:r>
    </w:p>
    <w:p w14:paraId="0DD3F546" w14:textId="26B6DC89" w:rsidR="00964198" w:rsidRPr="00781F53" w:rsidRDefault="00964198" w:rsidP="00781F53">
      <w:pPr>
        <w:spacing w:before="120" w:after="120" w:line="276" w:lineRule="auto"/>
        <w:ind w:left="-714"/>
        <w:rPr>
          <w:rFonts w:ascii="Arial" w:hAnsi="Arial" w:cs="Arial"/>
          <w:color w:val="404040" w:themeColor="text1" w:themeTint="BF"/>
          <w:sz w:val="18"/>
          <w:szCs w:val="18"/>
          <w:lang w:val="pt-PT"/>
        </w:rPr>
      </w:pPr>
      <w:proofErr w:type="spellStart"/>
      <w:r w:rsidRPr="00781F53">
        <w:rPr>
          <w:rFonts w:ascii="Arial" w:hAnsi="Arial" w:cs="Arial"/>
          <w:color w:val="404040" w:themeColor="text1" w:themeTint="BF"/>
          <w:sz w:val="18"/>
          <w:szCs w:val="18"/>
          <w:lang w:val="pt-PT"/>
        </w:rPr>
        <w:t>Wojciech</w:t>
      </w:r>
      <w:proofErr w:type="spellEnd"/>
      <w:r w:rsidRPr="00781F53">
        <w:rPr>
          <w:rFonts w:ascii="Arial" w:hAnsi="Arial" w:cs="Arial"/>
          <w:color w:val="404040" w:themeColor="text1" w:themeTint="BF"/>
          <w:sz w:val="18"/>
          <w:szCs w:val="18"/>
          <w:lang w:val="pt-PT"/>
        </w:rPr>
        <w:t xml:space="preserve"> </w:t>
      </w:r>
      <w:proofErr w:type="spellStart"/>
      <w:r w:rsidRPr="00781F53">
        <w:rPr>
          <w:rFonts w:ascii="Arial" w:hAnsi="Arial" w:cs="Arial"/>
          <w:color w:val="404040" w:themeColor="text1" w:themeTint="BF"/>
          <w:sz w:val="18"/>
          <w:szCs w:val="18"/>
          <w:lang w:val="pt-PT"/>
        </w:rPr>
        <w:t>Kądziołka</w:t>
      </w:r>
      <w:proofErr w:type="spellEnd"/>
      <w:r w:rsidRPr="00781F53">
        <w:rPr>
          <w:rFonts w:ascii="Arial" w:hAnsi="Arial" w:cs="Arial"/>
          <w:color w:val="404040" w:themeColor="text1" w:themeTint="BF"/>
          <w:sz w:val="18"/>
          <w:szCs w:val="18"/>
          <w:lang w:val="pt-PT"/>
        </w:rPr>
        <w:t xml:space="preserve">, </w:t>
      </w:r>
      <w:proofErr w:type="spellStart"/>
      <w:r w:rsidRPr="00781F53">
        <w:rPr>
          <w:rFonts w:ascii="Arial" w:hAnsi="Arial" w:cs="Arial"/>
          <w:color w:val="404040" w:themeColor="text1" w:themeTint="BF"/>
          <w:sz w:val="18"/>
          <w:szCs w:val="18"/>
          <w:lang w:val="pt-PT"/>
        </w:rPr>
        <w:t>Spokesman</w:t>
      </w:r>
      <w:proofErr w:type="spellEnd"/>
      <w:r w:rsidRPr="00781F53">
        <w:rPr>
          <w:rFonts w:ascii="Arial" w:hAnsi="Arial" w:cs="Arial"/>
          <w:color w:val="404040" w:themeColor="text1" w:themeTint="BF"/>
          <w:sz w:val="18"/>
          <w:szCs w:val="18"/>
          <w:lang w:val="pt-PT"/>
        </w:rPr>
        <w:t xml:space="preserve"> </w:t>
      </w:r>
    </w:p>
    <w:p w14:paraId="177545B0" w14:textId="6D3B5520" w:rsidR="00964198" w:rsidRPr="00781F53" w:rsidRDefault="00964198" w:rsidP="00781F53">
      <w:pPr>
        <w:spacing w:before="120" w:after="120" w:line="276" w:lineRule="auto"/>
        <w:ind w:left="-714"/>
        <w:rPr>
          <w:rFonts w:ascii="Arial" w:hAnsi="Arial" w:cs="Arial"/>
          <w:color w:val="404040" w:themeColor="text1" w:themeTint="BF"/>
          <w:sz w:val="18"/>
          <w:szCs w:val="18"/>
          <w:u w:val="single"/>
          <w:lang w:val="pt-PT"/>
        </w:rPr>
      </w:pPr>
      <w:proofErr w:type="gramStart"/>
      <w:r w:rsidRPr="00781F53">
        <w:rPr>
          <w:rFonts w:ascii="Arial" w:hAnsi="Arial" w:cs="Arial"/>
          <w:color w:val="404040" w:themeColor="text1" w:themeTint="BF"/>
          <w:sz w:val="18"/>
          <w:szCs w:val="18"/>
          <w:u w:val="single"/>
          <w:lang w:val="pt-PT"/>
        </w:rPr>
        <w:t>wkadziolka@inpost.pl</w:t>
      </w:r>
      <w:proofErr w:type="gramEnd"/>
      <w:r w:rsidRPr="00781F53">
        <w:rPr>
          <w:rFonts w:ascii="Arial" w:hAnsi="Arial" w:cs="Arial"/>
          <w:color w:val="404040" w:themeColor="text1" w:themeTint="BF"/>
          <w:sz w:val="18"/>
          <w:szCs w:val="18"/>
          <w:lang w:val="pt-PT"/>
        </w:rPr>
        <w:t xml:space="preserve"> </w:t>
      </w:r>
    </w:p>
    <w:p w14:paraId="4215E38F" w14:textId="7C76C2E1" w:rsidR="00964198" w:rsidRPr="00781F53" w:rsidRDefault="00964198" w:rsidP="00391B17">
      <w:pPr>
        <w:spacing w:before="120" w:after="120" w:line="276" w:lineRule="auto"/>
        <w:ind w:left="-714"/>
        <w:rPr>
          <w:rFonts w:ascii="Arial" w:hAnsi="Arial" w:cs="Arial"/>
          <w:lang w:val="pt-PT"/>
        </w:rPr>
      </w:pPr>
      <w:r w:rsidRPr="00781F53">
        <w:rPr>
          <w:rFonts w:ascii="Arial" w:hAnsi="Arial" w:cs="Arial"/>
          <w:color w:val="404040"/>
          <w:sz w:val="18"/>
          <w:szCs w:val="18"/>
          <w:lang w:val="pt-PT"/>
        </w:rPr>
        <w:t>+48 725 25 09 85</w:t>
      </w:r>
    </w:p>
    <w:sectPr w:rsidR="00964198" w:rsidRPr="00781F53" w:rsidSect="00647B4A">
      <w:headerReference w:type="default" r:id="rId16"/>
      <w:footerReference w:type="default" r:id="rId17"/>
      <w:pgSz w:w="11906" w:h="16838"/>
      <w:pgMar w:top="2269" w:right="1700"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5CF4" w14:textId="77777777" w:rsidR="00DC51A7" w:rsidRDefault="00DC51A7" w:rsidP="00213032">
      <w:r>
        <w:separator/>
      </w:r>
    </w:p>
  </w:endnote>
  <w:endnote w:type="continuationSeparator" w:id="0">
    <w:p w14:paraId="03B43D95" w14:textId="77777777" w:rsidR="00DC51A7" w:rsidRDefault="00DC51A7" w:rsidP="00213032">
      <w:r>
        <w:continuationSeparator/>
      </w:r>
    </w:p>
  </w:endnote>
  <w:endnote w:type="continuationNotice" w:id="1">
    <w:p w14:paraId="286E6539" w14:textId="77777777" w:rsidR="00DC51A7" w:rsidRDefault="00DC5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7" w:usb1="00000001"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814324"/>
      <w:docPartObj>
        <w:docPartGallery w:val="Page Numbers (Bottom of Page)"/>
        <w:docPartUnique/>
      </w:docPartObj>
    </w:sdtPr>
    <w:sdtEndPr/>
    <w:sdtContent>
      <w:p w14:paraId="240C9A7E" w14:textId="77777777" w:rsidR="00E53108" w:rsidRDefault="00E53108">
        <w:pPr>
          <w:pStyle w:val="Rodap"/>
          <w:jc w:val="right"/>
        </w:pPr>
        <w:r>
          <w:fldChar w:fldCharType="begin"/>
        </w:r>
        <w:r>
          <w:instrText>PAGE   \* MERGEFORMAT</w:instrText>
        </w:r>
        <w:r>
          <w:fldChar w:fldCharType="separate"/>
        </w:r>
        <w:r>
          <w:t>2</w:t>
        </w:r>
        <w:r>
          <w:fldChar w:fldCharType="end"/>
        </w:r>
      </w:p>
    </w:sdtContent>
  </w:sdt>
  <w:p w14:paraId="3C9E8800" w14:textId="1689158E" w:rsidR="00E64794" w:rsidRDefault="00E647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9B4A" w14:textId="77777777" w:rsidR="00DC51A7" w:rsidRDefault="00DC51A7" w:rsidP="00213032">
      <w:r>
        <w:separator/>
      </w:r>
    </w:p>
  </w:footnote>
  <w:footnote w:type="continuationSeparator" w:id="0">
    <w:p w14:paraId="39EDED4E" w14:textId="77777777" w:rsidR="00DC51A7" w:rsidRDefault="00DC51A7" w:rsidP="00213032">
      <w:r>
        <w:continuationSeparator/>
      </w:r>
    </w:p>
  </w:footnote>
  <w:footnote w:type="continuationNotice" w:id="1">
    <w:p w14:paraId="0ECBC0D1" w14:textId="77777777" w:rsidR="00DC51A7" w:rsidRDefault="00DC51A7"/>
  </w:footnote>
  <w:footnote w:id="2">
    <w:p w14:paraId="49566F33" w14:textId="77777777" w:rsidR="00310590" w:rsidRPr="00431236" w:rsidRDefault="00310590" w:rsidP="00310590">
      <w:pPr>
        <w:pStyle w:val="Textodenotaderodap"/>
        <w:rPr>
          <w:sz w:val="16"/>
          <w:szCs w:val="16"/>
          <w:lang w:val="pt-PT"/>
        </w:rPr>
      </w:pPr>
      <w:r w:rsidRPr="00061102">
        <w:rPr>
          <w:rStyle w:val="Refdenotaderodap"/>
          <w:sz w:val="16"/>
          <w:szCs w:val="16"/>
          <w:lang w:val="en-GB"/>
        </w:rPr>
        <w:footnoteRef/>
      </w:r>
      <w:r w:rsidRPr="00431236">
        <w:rPr>
          <w:sz w:val="16"/>
          <w:szCs w:val="16"/>
          <w:lang w:val="pt-PT"/>
        </w:rPr>
        <w:t xml:space="preserve"> Pró-forma incluindo volumes da Mondial Relay para o período de</w:t>
      </w:r>
      <w:r>
        <w:rPr>
          <w:sz w:val="16"/>
          <w:szCs w:val="16"/>
          <w:lang w:val="pt-PT"/>
        </w:rPr>
        <w:t xml:space="preserve"> </w:t>
      </w:r>
      <w:proofErr w:type="spellStart"/>
      <w:r>
        <w:rPr>
          <w:sz w:val="16"/>
          <w:szCs w:val="16"/>
          <w:lang w:val="pt-PT"/>
        </w:rPr>
        <w:t>j</w:t>
      </w:r>
      <w:r w:rsidRPr="00431236">
        <w:rPr>
          <w:sz w:val="16"/>
          <w:szCs w:val="16"/>
          <w:lang w:val="pt-PT"/>
        </w:rPr>
        <w:t>an-</w:t>
      </w:r>
      <w:r>
        <w:rPr>
          <w:sz w:val="16"/>
          <w:szCs w:val="16"/>
          <w:lang w:val="pt-PT"/>
        </w:rPr>
        <w:t>j</w:t>
      </w:r>
      <w:r w:rsidRPr="00431236">
        <w:rPr>
          <w:sz w:val="16"/>
          <w:szCs w:val="16"/>
          <w:lang w:val="pt-PT"/>
        </w:rPr>
        <w:t>un</w:t>
      </w:r>
      <w:proofErr w:type="spellEnd"/>
      <w:r w:rsidRPr="00431236">
        <w:rPr>
          <w:sz w:val="16"/>
          <w:szCs w:val="16"/>
          <w:lang w:val="pt-PT"/>
        </w:rPr>
        <w:t xml:space="preserve"> </w:t>
      </w:r>
      <w:proofErr w:type="gramStart"/>
      <w:r w:rsidRPr="00431236">
        <w:rPr>
          <w:sz w:val="16"/>
          <w:szCs w:val="16"/>
          <w:lang w:val="pt-PT"/>
        </w:rPr>
        <w:t>antes da</w:t>
      </w:r>
      <w:proofErr w:type="gramEnd"/>
      <w:r w:rsidRPr="00431236">
        <w:rPr>
          <w:sz w:val="16"/>
          <w:szCs w:val="16"/>
          <w:lang w:val="pt-PT"/>
        </w:rPr>
        <w:t xml:space="preserve"> </w:t>
      </w:r>
      <w:proofErr w:type="spellStart"/>
      <w:r w:rsidRPr="00431236">
        <w:rPr>
          <w:sz w:val="16"/>
          <w:szCs w:val="16"/>
          <w:lang w:val="pt-PT"/>
        </w:rPr>
        <w:t>InPost</w:t>
      </w:r>
      <w:proofErr w:type="spellEnd"/>
      <w:r w:rsidRPr="00431236">
        <w:rPr>
          <w:sz w:val="16"/>
          <w:szCs w:val="16"/>
          <w:lang w:val="pt-PT"/>
        </w:rPr>
        <w:t xml:space="preserve"> assumir o controlo da Mondial Relay.</w:t>
      </w:r>
    </w:p>
  </w:footnote>
  <w:footnote w:id="3">
    <w:p w14:paraId="5C7782D5" w14:textId="44B2AB52" w:rsidR="00C06422" w:rsidRPr="00F47FA2" w:rsidRDefault="00C06422" w:rsidP="00C06422">
      <w:pPr>
        <w:pStyle w:val="Textodenotaderodap"/>
        <w:rPr>
          <w:sz w:val="16"/>
          <w:szCs w:val="16"/>
        </w:rPr>
      </w:pPr>
      <w:r w:rsidRPr="00061102">
        <w:rPr>
          <w:rStyle w:val="Refdenotaderodap"/>
          <w:color w:val="404040" w:themeColor="text1" w:themeTint="BF"/>
          <w:sz w:val="16"/>
          <w:szCs w:val="16"/>
          <w:lang w:val="en-GB"/>
        </w:rPr>
        <w:footnoteRef/>
      </w:r>
      <w:r w:rsidRPr="00F47FA2">
        <w:rPr>
          <w:color w:val="404040" w:themeColor="text1" w:themeTint="BF"/>
          <w:sz w:val="16"/>
          <w:szCs w:val="16"/>
        </w:rPr>
        <w:t xml:space="preserve"> </w:t>
      </w:r>
      <w:r>
        <w:rPr>
          <w:color w:val="404040" w:themeColor="text1" w:themeTint="BF"/>
          <w:sz w:val="16"/>
          <w:szCs w:val="16"/>
        </w:rPr>
        <w:t xml:space="preserve">De acordo com a </w:t>
      </w:r>
      <w:r w:rsidRPr="00F47FA2">
        <w:rPr>
          <w:color w:val="404040" w:themeColor="text1" w:themeTint="BF"/>
          <w:sz w:val="16"/>
          <w:szCs w:val="16"/>
        </w:rPr>
        <w:t>Gemius, https://www.gemius.pl/reklamodawcy-aktualnosci/wyniki-badania-mediapanel-za-grudzien-2021.html</w:t>
      </w:r>
    </w:p>
  </w:footnote>
  <w:footnote w:id="4">
    <w:p w14:paraId="0BFC763C" w14:textId="1F572E12" w:rsidR="00B555B2" w:rsidRPr="00061102" w:rsidRDefault="00B555B2" w:rsidP="00B555B2">
      <w:pPr>
        <w:pStyle w:val="Textodenotaderodap"/>
        <w:rPr>
          <w:sz w:val="16"/>
          <w:szCs w:val="16"/>
          <w:lang w:val="en-GB"/>
        </w:rPr>
      </w:pPr>
      <w:r w:rsidRPr="00061102">
        <w:rPr>
          <w:rStyle w:val="Refdenotaderodap"/>
          <w:sz w:val="16"/>
          <w:szCs w:val="16"/>
          <w:lang w:val="en-GB"/>
        </w:rPr>
        <w:footnoteRef/>
      </w:r>
      <w:r w:rsidRPr="00061102">
        <w:rPr>
          <w:sz w:val="16"/>
          <w:szCs w:val="16"/>
          <w:lang w:val="en-GB"/>
        </w:rPr>
        <w:t xml:space="preserve"> </w:t>
      </w:r>
      <w:r w:rsidRPr="00B555B2">
        <w:rPr>
          <w:sz w:val="16"/>
          <w:szCs w:val="16"/>
          <w:lang w:val="en-GB"/>
        </w:rPr>
        <w:t xml:space="preserve">Para o </w:t>
      </w:r>
      <w:proofErr w:type="spellStart"/>
      <w:r w:rsidRPr="00B555B2">
        <w:rPr>
          <w:sz w:val="16"/>
          <w:szCs w:val="16"/>
          <w:lang w:val="en-GB"/>
        </w:rPr>
        <w:t>ano</w:t>
      </w:r>
      <w:proofErr w:type="spellEnd"/>
      <w:r w:rsidRPr="00B555B2">
        <w:rPr>
          <w:sz w:val="16"/>
          <w:szCs w:val="16"/>
          <w:lang w:val="en-GB"/>
        </w:rPr>
        <w:t xml:space="preserve"> </w:t>
      </w:r>
      <w:proofErr w:type="spellStart"/>
      <w:r w:rsidRPr="00B555B2">
        <w:rPr>
          <w:sz w:val="16"/>
          <w:szCs w:val="16"/>
          <w:lang w:val="en-GB"/>
        </w:rPr>
        <w:t>completo</w:t>
      </w:r>
      <w:proofErr w:type="spellEnd"/>
      <w:r w:rsidRPr="00B555B2">
        <w:rPr>
          <w:sz w:val="16"/>
          <w:szCs w:val="16"/>
          <w:lang w:val="en-GB"/>
        </w:rPr>
        <w:t xml:space="preserve"> de 2021, </w:t>
      </w:r>
      <w:proofErr w:type="spellStart"/>
      <w:r w:rsidRPr="00B555B2">
        <w:rPr>
          <w:sz w:val="16"/>
          <w:szCs w:val="16"/>
          <w:lang w:val="en-GB"/>
        </w:rPr>
        <w:t>incluindo</w:t>
      </w:r>
      <w:proofErr w:type="spellEnd"/>
      <w:r w:rsidRPr="00B555B2">
        <w:rPr>
          <w:sz w:val="16"/>
          <w:szCs w:val="16"/>
          <w:lang w:val="en-GB"/>
        </w:rPr>
        <w:t xml:space="preserve"> </w:t>
      </w:r>
      <w:proofErr w:type="spellStart"/>
      <w:r w:rsidRPr="00B555B2">
        <w:rPr>
          <w:sz w:val="16"/>
          <w:szCs w:val="16"/>
          <w:lang w:val="en-GB"/>
        </w:rPr>
        <w:t>resultados</w:t>
      </w:r>
      <w:proofErr w:type="spellEnd"/>
      <w:r w:rsidRPr="00B555B2">
        <w:rPr>
          <w:sz w:val="16"/>
          <w:szCs w:val="16"/>
          <w:lang w:val="en-GB"/>
        </w:rPr>
        <w:t xml:space="preserve"> </w:t>
      </w:r>
      <w:proofErr w:type="spellStart"/>
      <w:r w:rsidRPr="00B555B2">
        <w:rPr>
          <w:sz w:val="16"/>
          <w:szCs w:val="16"/>
          <w:lang w:val="en-GB"/>
        </w:rPr>
        <w:t>não</w:t>
      </w:r>
      <w:proofErr w:type="spellEnd"/>
      <w:r w:rsidRPr="00B555B2">
        <w:rPr>
          <w:sz w:val="16"/>
          <w:szCs w:val="16"/>
          <w:lang w:val="en-GB"/>
        </w:rPr>
        <w:t xml:space="preserve"> </w:t>
      </w:r>
      <w:proofErr w:type="spellStart"/>
      <w:r w:rsidRPr="00B555B2">
        <w:rPr>
          <w:sz w:val="16"/>
          <w:szCs w:val="16"/>
          <w:lang w:val="en-GB"/>
        </w:rPr>
        <w:t>consolidados</w:t>
      </w:r>
      <w:proofErr w:type="spellEnd"/>
      <w:r w:rsidRPr="00B555B2">
        <w:rPr>
          <w:sz w:val="16"/>
          <w:szCs w:val="16"/>
          <w:lang w:val="en-GB"/>
        </w:rPr>
        <w:t xml:space="preserve"> para </w:t>
      </w:r>
      <w:proofErr w:type="spellStart"/>
      <w:r w:rsidRPr="00B555B2">
        <w:rPr>
          <w:sz w:val="16"/>
          <w:szCs w:val="16"/>
          <w:lang w:val="en-GB"/>
        </w:rPr>
        <w:t>os</w:t>
      </w:r>
      <w:proofErr w:type="spellEnd"/>
      <w:r w:rsidRPr="00B555B2">
        <w:rPr>
          <w:sz w:val="16"/>
          <w:szCs w:val="16"/>
          <w:lang w:val="en-GB"/>
        </w:rPr>
        <w:t xml:space="preserve"> 6 meses </w:t>
      </w:r>
      <w:proofErr w:type="spellStart"/>
      <w:r w:rsidRPr="00B555B2">
        <w:rPr>
          <w:sz w:val="16"/>
          <w:szCs w:val="16"/>
          <w:lang w:val="en-GB"/>
        </w:rPr>
        <w:t>terminados</w:t>
      </w:r>
      <w:proofErr w:type="spellEnd"/>
      <w:r w:rsidRPr="00B555B2">
        <w:rPr>
          <w:sz w:val="16"/>
          <w:szCs w:val="16"/>
          <w:lang w:val="en-GB"/>
        </w:rPr>
        <w:t xml:space="preserve"> a 30 de </w:t>
      </w:r>
      <w:proofErr w:type="spellStart"/>
      <w:r w:rsidRPr="00B555B2">
        <w:rPr>
          <w:sz w:val="16"/>
          <w:szCs w:val="16"/>
          <w:lang w:val="en-GB"/>
        </w:rPr>
        <w:t>Junho</w:t>
      </w:r>
      <w:proofErr w:type="spellEnd"/>
      <w:r w:rsidRPr="00B555B2">
        <w:rPr>
          <w:sz w:val="16"/>
          <w:szCs w:val="16"/>
          <w:lang w:val="en-GB"/>
        </w:rPr>
        <w:t xml:space="preserve"> de 2021.</w:t>
      </w:r>
    </w:p>
  </w:footnote>
  <w:footnote w:id="5">
    <w:p w14:paraId="47E88FCE" w14:textId="52C535C1" w:rsidR="003A5D97" w:rsidRPr="00061102" w:rsidRDefault="003A5D97" w:rsidP="003A5D97">
      <w:pPr>
        <w:pBdr>
          <w:top w:val="nil"/>
          <w:left w:val="nil"/>
          <w:bottom w:val="nil"/>
          <w:right w:val="nil"/>
          <w:between w:val="nil"/>
        </w:pBdr>
        <w:ind w:left="142" w:hanging="142"/>
        <w:rPr>
          <w:color w:val="000000"/>
          <w:sz w:val="14"/>
          <w:szCs w:val="14"/>
          <w:lang w:val="en-GB"/>
        </w:rPr>
      </w:pPr>
      <w:r w:rsidRPr="00061102">
        <w:rPr>
          <w:rStyle w:val="Refdenotaderodap"/>
          <w:lang w:val="en-GB"/>
        </w:rPr>
        <w:footnoteRef/>
      </w:r>
      <w:r w:rsidRPr="00061102">
        <w:rPr>
          <w:lang w:val="en-GB"/>
        </w:rPr>
        <w:t xml:space="preserve"> </w:t>
      </w:r>
      <w:r w:rsidR="004C019C" w:rsidRPr="004C019C">
        <w:rPr>
          <w:color w:val="000000"/>
          <w:sz w:val="14"/>
          <w:szCs w:val="14"/>
          <w:lang w:val="en-GB"/>
        </w:rPr>
        <w:t xml:space="preserve">  O </w:t>
      </w:r>
      <w:proofErr w:type="spellStart"/>
      <w:r w:rsidR="004C019C" w:rsidRPr="004C019C">
        <w:rPr>
          <w:color w:val="000000"/>
          <w:sz w:val="14"/>
          <w:szCs w:val="14"/>
          <w:lang w:val="en-GB"/>
        </w:rPr>
        <w:t>lucro</w:t>
      </w:r>
      <w:proofErr w:type="spellEnd"/>
      <w:r w:rsidR="004C019C" w:rsidRPr="004C019C">
        <w:rPr>
          <w:color w:val="000000"/>
          <w:sz w:val="14"/>
          <w:szCs w:val="14"/>
          <w:lang w:val="en-GB"/>
        </w:rPr>
        <w:t xml:space="preserve"> </w:t>
      </w:r>
      <w:proofErr w:type="spellStart"/>
      <w:r w:rsidR="004C019C" w:rsidRPr="004C019C">
        <w:rPr>
          <w:color w:val="000000"/>
          <w:sz w:val="14"/>
          <w:szCs w:val="14"/>
          <w:lang w:val="en-GB"/>
        </w:rPr>
        <w:t>líquido</w:t>
      </w:r>
      <w:proofErr w:type="spellEnd"/>
      <w:r w:rsidR="004C019C" w:rsidRPr="004C019C">
        <w:rPr>
          <w:color w:val="000000"/>
          <w:sz w:val="14"/>
          <w:szCs w:val="14"/>
          <w:lang w:val="en-GB"/>
        </w:rPr>
        <w:t xml:space="preserve"> do </w:t>
      </w:r>
      <w:proofErr w:type="spellStart"/>
      <w:r w:rsidR="004C019C" w:rsidRPr="004C019C">
        <w:rPr>
          <w:color w:val="000000"/>
          <w:sz w:val="14"/>
          <w:szCs w:val="14"/>
          <w:lang w:val="en-GB"/>
        </w:rPr>
        <w:t>período</w:t>
      </w:r>
      <w:proofErr w:type="spellEnd"/>
      <w:r w:rsidR="004C019C" w:rsidRPr="004C019C">
        <w:rPr>
          <w:color w:val="000000"/>
          <w:sz w:val="14"/>
          <w:szCs w:val="14"/>
          <w:lang w:val="en-GB"/>
        </w:rPr>
        <w:t xml:space="preserve"> e o </w:t>
      </w:r>
      <w:proofErr w:type="spellStart"/>
      <w:r w:rsidR="004C019C" w:rsidRPr="004C019C">
        <w:rPr>
          <w:color w:val="000000"/>
          <w:sz w:val="14"/>
          <w:szCs w:val="14"/>
          <w:lang w:val="en-GB"/>
        </w:rPr>
        <w:t>rendimento</w:t>
      </w:r>
      <w:proofErr w:type="spellEnd"/>
      <w:r w:rsidR="004C019C" w:rsidRPr="004C019C">
        <w:rPr>
          <w:color w:val="000000"/>
          <w:sz w:val="14"/>
          <w:szCs w:val="14"/>
          <w:lang w:val="en-GB"/>
        </w:rPr>
        <w:t xml:space="preserve"> total </w:t>
      </w:r>
      <w:proofErr w:type="spellStart"/>
      <w:r w:rsidR="004C019C" w:rsidRPr="004C019C">
        <w:rPr>
          <w:color w:val="000000"/>
          <w:sz w:val="14"/>
          <w:szCs w:val="14"/>
          <w:lang w:val="en-GB"/>
        </w:rPr>
        <w:t>abrangente</w:t>
      </w:r>
      <w:proofErr w:type="spellEnd"/>
      <w:r w:rsidR="004C019C" w:rsidRPr="004C019C">
        <w:rPr>
          <w:color w:val="000000"/>
          <w:sz w:val="14"/>
          <w:szCs w:val="14"/>
          <w:lang w:val="en-GB"/>
        </w:rPr>
        <w:t xml:space="preserve"> é </w:t>
      </w:r>
      <w:proofErr w:type="spellStart"/>
      <w:r w:rsidR="004C019C" w:rsidRPr="004C019C">
        <w:rPr>
          <w:color w:val="000000"/>
          <w:sz w:val="14"/>
          <w:szCs w:val="14"/>
          <w:lang w:val="en-GB"/>
        </w:rPr>
        <w:t>atribuível</w:t>
      </w:r>
      <w:proofErr w:type="spellEnd"/>
      <w:r w:rsidR="004C019C" w:rsidRPr="004C019C">
        <w:rPr>
          <w:color w:val="000000"/>
          <w:sz w:val="14"/>
          <w:szCs w:val="14"/>
          <w:lang w:val="en-GB"/>
        </w:rPr>
        <w:t xml:space="preserve"> </w:t>
      </w:r>
      <w:proofErr w:type="spellStart"/>
      <w:r w:rsidR="004C019C" w:rsidRPr="004C019C">
        <w:rPr>
          <w:color w:val="000000"/>
          <w:sz w:val="14"/>
          <w:szCs w:val="14"/>
          <w:lang w:val="en-GB"/>
        </w:rPr>
        <w:t>apenas</w:t>
      </w:r>
      <w:proofErr w:type="spellEnd"/>
      <w:r w:rsidR="004C019C" w:rsidRPr="004C019C">
        <w:rPr>
          <w:color w:val="000000"/>
          <w:sz w:val="14"/>
          <w:szCs w:val="14"/>
          <w:lang w:val="en-GB"/>
        </w:rPr>
        <w:t xml:space="preserve"> </w:t>
      </w:r>
      <w:proofErr w:type="spellStart"/>
      <w:r w:rsidR="004C019C" w:rsidRPr="004C019C">
        <w:rPr>
          <w:color w:val="000000"/>
          <w:sz w:val="14"/>
          <w:szCs w:val="14"/>
          <w:lang w:val="en-GB"/>
        </w:rPr>
        <w:t>aos</w:t>
      </w:r>
      <w:proofErr w:type="spellEnd"/>
      <w:r w:rsidR="004C019C" w:rsidRPr="004C019C">
        <w:rPr>
          <w:color w:val="000000"/>
          <w:sz w:val="14"/>
          <w:szCs w:val="14"/>
          <w:lang w:val="en-GB"/>
        </w:rPr>
        <w:t xml:space="preserve"> </w:t>
      </w:r>
      <w:proofErr w:type="spellStart"/>
      <w:proofErr w:type="gramStart"/>
      <w:r w:rsidR="004C019C" w:rsidRPr="004C019C">
        <w:rPr>
          <w:color w:val="000000"/>
          <w:sz w:val="14"/>
          <w:szCs w:val="14"/>
          <w:lang w:val="en-GB"/>
        </w:rPr>
        <w:t>proprietários</w:t>
      </w:r>
      <w:proofErr w:type="spellEnd"/>
      <w:r w:rsidR="004C019C" w:rsidRPr="004C019C">
        <w:rPr>
          <w:color w:val="000000"/>
          <w:sz w:val="14"/>
          <w:szCs w:val="14"/>
          <w:lang w:val="en-GB"/>
        </w:rPr>
        <w:t>.</w:t>
      </w:r>
      <w:r w:rsidRPr="00061102">
        <w:rPr>
          <w:color w:val="000000"/>
          <w:sz w:val="14"/>
          <w:szCs w:val="14"/>
          <w:lang w:val="en-GB"/>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2FC9" w14:textId="55990D30" w:rsidR="00213032" w:rsidRDefault="00007187">
    <w:pPr>
      <w:pStyle w:val="Cabealho"/>
    </w:pPr>
    <w:r>
      <w:rPr>
        <w:noProof/>
      </w:rPr>
      <w:drawing>
        <wp:anchor distT="0" distB="0" distL="114300" distR="114300" simplePos="0" relativeHeight="251658240" behindDoc="1" locked="0" layoutInCell="1" allowOverlap="1" wp14:anchorId="6B9BCDF1" wp14:editId="383C7F1C">
          <wp:simplePos x="0" y="0"/>
          <wp:positionH relativeFrom="page">
            <wp:align>left</wp:align>
          </wp:positionH>
          <wp:positionV relativeFrom="paragraph">
            <wp:posOffset>-449324</wp:posOffset>
          </wp:positionV>
          <wp:extent cx="7559040" cy="1016544"/>
          <wp:effectExtent l="0" t="0" r="3810" b="0"/>
          <wp:wrapNone/>
          <wp:docPr id="13" name="Graf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040" cy="1016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00E"/>
    <w:multiLevelType w:val="hybridMultilevel"/>
    <w:tmpl w:val="100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40FDE"/>
    <w:multiLevelType w:val="hybridMultilevel"/>
    <w:tmpl w:val="C204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A4438"/>
    <w:multiLevelType w:val="hybridMultilevel"/>
    <w:tmpl w:val="7BD2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22B71"/>
    <w:multiLevelType w:val="hybridMultilevel"/>
    <w:tmpl w:val="B8E8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D658E"/>
    <w:multiLevelType w:val="hybridMultilevel"/>
    <w:tmpl w:val="9FE828BC"/>
    <w:lvl w:ilvl="0" w:tplc="3F1C6C4E">
      <w:start w:val="1"/>
      <w:numFmt w:val="bullet"/>
      <w:lvlText w:val=""/>
      <w:lvlJc w:val="left"/>
      <w:pPr>
        <w:tabs>
          <w:tab w:val="num" w:pos="720"/>
        </w:tabs>
        <w:ind w:left="720" w:hanging="360"/>
      </w:pPr>
      <w:rPr>
        <w:rFonts w:ascii="Wingdings" w:hAnsi="Wingdings" w:hint="default"/>
      </w:rPr>
    </w:lvl>
    <w:lvl w:ilvl="1" w:tplc="548003B8" w:tentative="1">
      <w:start w:val="1"/>
      <w:numFmt w:val="bullet"/>
      <w:lvlText w:val=""/>
      <w:lvlJc w:val="left"/>
      <w:pPr>
        <w:tabs>
          <w:tab w:val="num" w:pos="1440"/>
        </w:tabs>
        <w:ind w:left="1440" w:hanging="360"/>
      </w:pPr>
      <w:rPr>
        <w:rFonts w:ascii="Wingdings" w:hAnsi="Wingdings" w:hint="default"/>
      </w:rPr>
    </w:lvl>
    <w:lvl w:ilvl="2" w:tplc="F8DCA5BA" w:tentative="1">
      <w:start w:val="1"/>
      <w:numFmt w:val="bullet"/>
      <w:lvlText w:val=""/>
      <w:lvlJc w:val="left"/>
      <w:pPr>
        <w:tabs>
          <w:tab w:val="num" w:pos="2160"/>
        </w:tabs>
        <w:ind w:left="2160" w:hanging="360"/>
      </w:pPr>
      <w:rPr>
        <w:rFonts w:ascii="Wingdings" w:hAnsi="Wingdings" w:hint="default"/>
      </w:rPr>
    </w:lvl>
    <w:lvl w:ilvl="3" w:tplc="7A94DE5E" w:tentative="1">
      <w:start w:val="1"/>
      <w:numFmt w:val="bullet"/>
      <w:lvlText w:val=""/>
      <w:lvlJc w:val="left"/>
      <w:pPr>
        <w:tabs>
          <w:tab w:val="num" w:pos="2880"/>
        </w:tabs>
        <w:ind w:left="2880" w:hanging="360"/>
      </w:pPr>
      <w:rPr>
        <w:rFonts w:ascii="Wingdings" w:hAnsi="Wingdings" w:hint="default"/>
      </w:rPr>
    </w:lvl>
    <w:lvl w:ilvl="4" w:tplc="58AE845A" w:tentative="1">
      <w:start w:val="1"/>
      <w:numFmt w:val="bullet"/>
      <w:lvlText w:val=""/>
      <w:lvlJc w:val="left"/>
      <w:pPr>
        <w:tabs>
          <w:tab w:val="num" w:pos="3600"/>
        </w:tabs>
        <w:ind w:left="3600" w:hanging="360"/>
      </w:pPr>
      <w:rPr>
        <w:rFonts w:ascii="Wingdings" w:hAnsi="Wingdings" w:hint="default"/>
      </w:rPr>
    </w:lvl>
    <w:lvl w:ilvl="5" w:tplc="E6804BE4" w:tentative="1">
      <w:start w:val="1"/>
      <w:numFmt w:val="bullet"/>
      <w:lvlText w:val=""/>
      <w:lvlJc w:val="left"/>
      <w:pPr>
        <w:tabs>
          <w:tab w:val="num" w:pos="4320"/>
        </w:tabs>
        <w:ind w:left="4320" w:hanging="360"/>
      </w:pPr>
      <w:rPr>
        <w:rFonts w:ascii="Wingdings" w:hAnsi="Wingdings" w:hint="default"/>
      </w:rPr>
    </w:lvl>
    <w:lvl w:ilvl="6" w:tplc="FD02E802" w:tentative="1">
      <w:start w:val="1"/>
      <w:numFmt w:val="bullet"/>
      <w:lvlText w:val=""/>
      <w:lvlJc w:val="left"/>
      <w:pPr>
        <w:tabs>
          <w:tab w:val="num" w:pos="5040"/>
        </w:tabs>
        <w:ind w:left="5040" w:hanging="360"/>
      </w:pPr>
      <w:rPr>
        <w:rFonts w:ascii="Wingdings" w:hAnsi="Wingdings" w:hint="default"/>
      </w:rPr>
    </w:lvl>
    <w:lvl w:ilvl="7" w:tplc="2F6A411A" w:tentative="1">
      <w:start w:val="1"/>
      <w:numFmt w:val="bullet"/>
      <w:lvlText w:val=""/>
      <w:lvlJc w:val="left"/>
      <w:pPr>
        <w:tabs>
          <w:tab w:val="num" w:pos="5760"/>
        </w:tabs>
        <w:ind w:left="5760" w:hanging="360"/>
      </w:pPr>
      <w:rPr>
        <w:rFonts w:ascii="Wingdings" w:hAnsi="Wingdings" w:hint="default"/>
      </w:rPr>
    </w:lvl>
    <w:lvl w:ilvl="8" w:tplc="DA4AFC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53D1E"/>
    <w:multiLevelType w:val="hybridMultilevel"/>
    <w:tmpl w:val="FFFFFFFF"/>
    <w:lvl w:ilvl="0" w:tplc="E472944A">
      <w:start w:val="1"/>
      <w:numFmt w:val="bullet"/>
      <w:lvlText w:val=""/>
      <w:lvlJc w:val="left"/>
      <w:pPr>
        <w:ind w:left="720" w:hanging="360"/>
      </w:pPr>
      <w:rPr>
        <w:rFonts w:ascii="Symbol" w:hAnsi="Symbol" w:hint="default"/>
      </w:rPr>
    </w:lvl>
    <w:lvl w:ilvl="1" w:tplc="66924A68">
      <w:start w:val="1"/>
      <w:numFmt w:val="bullet"/>
      <w:lvlText w:val="o"/>
      <w:lvlJc w:val="left"/>
      <w:pPr>
        <w:ind w:left="1440" w:hanging="360"/>
      </w:pPr>
      <w:rPr>
        <w:rFonts w:ascii="Courier New" w:hAnsi="Courier New" w:hint="default"/>
      </w:rPr>
    </w:lvl>
    <w:lvl w:ilvl="2" w:tplc="0D7491B2">
      <w:start w:val="1"/>
      <w:numFmt w:val="bullet"/>
      <w:lvlText w:val=""/>
      <w:lvlJc w:val="left"/>
      <w:pPr>
        <w:ind w:left="2160" w:hanging="360"/>
      </w:pPr>
      <w:rPr>
        <w:rFonts w:ascii="Wingdings" w:hAnsi="Wingdings" w:hint="default"/>
      </w:rPr>
    </w:lvl>
    <w:lvl w:ilvl="3" w:tplc="079C4E4E">
      <w:start w:val="1"/>
      <w:numFmt w:val="bullet"/>
      <w:lvlText w:val=""/>
      <w:lvlJc w:val="left"/>
      <w:pPr>
        <w:ind w:left="2880" w:hanging="360"/>
      </w:pPr>
      <w:rPr>
        <w:rFonts w:ascii="Symbol" w:hAnsi="Symbol" w:hint="default"/>
      </w:rPr>
    </w:lvl>
    <w:lvl w:ilvl="4" w:tplc="90467120">
      <w:start w:val="1"/>
      <w:numFmt w:val="bullet"/>
      <w:lvlText w:val="o"/>
      <w:lvlJc w:val="left"/>
      <w:pPr>
        <w:ind w:left="3600" w:hanging="360"/>
      </w:pPr>
      <w:rPr>
        <w:rFonts w:ascii="Courier New" w:hAnsi="Courier New" w:hint="default"/>
      </w:rPr>
    </w:lvl>
    <w:lvl w:ilvl="5" w:tplc="347285F8">
      <w:start w:val="1"/>
      <w:numFmt w:val="bullet"/>
      <w:lvlText w:val=""/>
      <w:lvlJc w:val="left"/>
      <w:pPr>
        <w:ind w:left="4320" w:hanging="360"/>
      </w:pPr>
      <w:rPr>
        <w:rFonts w:ascii="Wingdings" w:hAnsi="Wingdings" w:hint="default"/>
      </w:rPr>
    </w:lvl>
    <w:lvl w:ilvl="6" w:tplc="15E443CA">
      <w:start w:val="1"/>
      <w:numFmt w:val="bullet"/>
      <w:lvlText w:val=""/>
      <w:lvlJc w:val="left"/>
      <w:pPr>
        <w:ind w:left="5040" w:hanging="360"/>
      </w:pPr>
      <w:rPr>
        <w:rFonts w:ascii="Symbol" w:hAnsi="Symbol" w:hint="default"/>
      </w:rPr>
    </w:lvl>
    <w:lvl w:ilvl="7" w:tplc="E7C86F8A">
      <w:start w:val="1"/>
      <w:numFmt w:val="bullet"/>
      <w:lvlText w:val="o"/>
      <w:lvlJc w:val="left"/>
      <w:pPr>
        <w:ind w:left="5760" w:hanging="360"/>
      </w:pPr>
      <w:rPr>
        <w:rFonts w:ascii="Courier New" w:hAnsi="Courier New" w:hint="default"/>
      </w:rPr>
    </w:lvl>
    <w:lvl w:ilvl="8" w:tplc="79F88000">
      <w:start w:val="1"/>
      <w:numFmt w:val="bullet"/>
      <w:lvlText w:val=""/>
      <w:lvlJc w:val="left"/>
      <w:pPr>
        <w:ind w:left="6480" w:hanging="360"/>
      </w:pPr>
      <w:rPr>
        <w:rFonts w:ascii="Wingdings" w:hAnsi="Wingdings" w:hint="default"/>
      </w:rPr>
    </w:lvl>
  </w:abstractNum>
  <w:abstractNum w:abstractNumId="6" w15:restartNumberingAfterBreak="0">
    <w:nsid w:val="594735CD"/>
    <w:multiLevelType w:val="hybridMultilevel"/>
    <w:tmpl w:val="58CE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C1105F"/>
    <w:multiLevelType w:val="hybridMultilevel"/>
    <w:tmpl w:val="9260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132AB"/>
    <w:multiLevelType w:val="hybridMultilevel"/>
    <w:tmpl w:val="2F02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04"/>
    <w:rsid w:val="000046CC"/>
    <w:rsid w:val="0000472B"/>
    <w:rsid w:val="00007187"/>
    <w:rsid w:val="000116F0"/>
    <w:rsid w:val="00013E4B"/>
    <w:rsid w:val="00021560"/>
    <w:rsid w:val="000235BF"/>
    <w:rsid w:val="0002542C"/>
    <w:rsid w:val="00026D4C"/>
    <w:rsid w:val="000278EA"/>
    <w:rsid w:val="00032B08"/>
    <w:rsid w:val="00037823"/>
    <w:rsid w:val="0003BFC1"/>
    <w:rsid w:val="00043D80"/>
    <w:rsid w:val="0004442C"/>
    <w:rsid w:val="00044CFA"/>
    <w:rsid w:val="000511BE"/>
    <w:rsid w:val="00052BEF"/>
    <w:rsid w:val="000530F5"/>
    <w:rsid w:val="0005366D"/>
    <w:rsid w:val="000549C1"/>
    <w:rsid w:val="00055D00"/>
    <w:rsid w:val="00056F64"/>
    <w:rsid w:val="000605F4"/>
    <w:rsid w:val="00061102"/>
    <w:rsid w:val="00062806"/>
    <w:rsid w:val="0006550F"/>
    <w:rsid w:val="0006783F"/>
    <w:rsid w:val="00071716"/>
    <w:rsid w:val="00071985"/>
    <w:rsid w:val="00071B54"/>
    <w:rsid w:val="0007644B"/>
    <w:rsid w:val="00077F2B"/>
    <w:rsid w:val="00080174"/>
    <w:rsid w:val="00080B7E"/>
    <w:rsid w:val="00080CD8"/>
    <w:rsid w:val="0008345A"/>
    <w:rsid w:val="00095D8F"/>
    <w:rsid w:val="000B1489"/>
    <w:rsid w:val="000B2AD7"/>
    <w:rsid w:val="000B3B6D"/>
    <w:rsid w:val="000B4E40"/>
    <w:rsid w:val="000C0E2A"/>
    <w:rsid w:val="000C44ED"/>
    <w:rsid w:val="000C4FE2"/>
    <w:rsid w:val="000C6F6E"/>
    <w:rsid w:val="000D4603"/>
    <w:rsid w:val="000E3396"/>
    <w:rsid w:val="000E797E"/>
    <w:rsid w:val="000F0F6A"/>
    <w:rsid w:val="000F2E88"/>
    <w:rsid w:val="000F3A27"/>
    <w:rsid w:val="000F438E"/>
    <w:rsid w:val="00106C76"/>
    <w:rsid w:val="00110B89"/>
    <w:rsid w:val="00111B48"/>
    <w:rsid w:val="001158A7"/>
    <w:rsid w:val="00123021"/>
    <w:rsid w:val="001234CE"/>
    <w:rsid w:val="001263B7"/>
    <w:rsid w:val="00132719"/>
    <w:rsid w:val="00132FFC"/>
    <w:rsid w:val="001375BA"/>
    <w:rsid w:val="00137EDD"/>
    <w:rsid w:val="00140E49"/>
    <w:rsid w:val="0014178D"/>
    <w:rsid w:val="00144913"/>
    <w:rsid w:val="00147E45"/>
    <w:rsid w:val="001513C0"/>
    <w:rsid w:val="001556A9"/>
    <w:rsid w:val="0016372B"/>
    <w:rsid w:val="001661B3"/>
    <w:rsid w:val="001661DC"/>
    <w:rsid w:val="00171BCA"/>
    <w:rsid w:val="00176160"/>
    <w:rsid w:val="001763A9"/>
    <w:rsid w:val="00182D59"/>
    <w:rsid w:val="00186911"/>
    <w:rsid w:val="001A1E19"/>
    <w:rsid w:val="001A65B4"/>
    <w:rsid w:val="001B506A"/>
    <w:rsid w:val="001B6B21"/>
    <w:rsid w:val="001B7EDA"/>
    <w:rsid w:val="001C54A8"/>
    <w:rsid w:val="001C59D9"/>
    <w:rsid w:val="001C59FB"/>
    <w:rsid w:val="001C7A74"/>
    <w:rsid w:val="001C7BC5"/>
    <w:rsid w:val="001D46D6"/>
    <w:rsid w:val="001E401C"/>
    <w:rsid w:val="001E53EF"/>
    <w:rsid w:val="001E5EBE"/>
    <w:rsid w:val="001E774D"/>
    <w:rsid w:val="001E7D41"/>
    <w:rsid w:val="001F1D27"/>
    <w:rsid w:val="001F2054"/>
    <w:rsid w:val="001F3AA8"/>
    <w:rsid w:val="001F5D7B"/>
    <w:rsid w:val="0020007F"/>
    <w:rsid w:val="0020230C"/>
    <w:rsid w:val="002046FC"/>
    <w:rsid w:val="00204AE5"/>
    <w:rsid w:val="00205782"/>
    <w:rsid w:val="002063DD"/>
    <w:rsid w:val="002075F3"/>
    <w:rsid w:val="00213032"/>
    <w:rsid w:val="00213ADC"/>
    <w:rsid w:val="00213F02"/>
    <w:rsid w:val="002164AA"/>
    <w:rsid w:val="00216D8E"/>
    <w:rsid w:val="002232F0"/>
    <w:rsid w:val="00230F92"/>
    <w:rsid w:val="00231BAB"/>
    <w:rsid w:val="0023719D"/>
    <w:rsid w:val="00244737"/>
    <w:rsid w:val="00245F7C"/>
    <w:rsid w:val="002475C9"/>
    <w:rsid w:val="002525D6"/>
    <w:rsid w:val="0025349A"/>
    <w:rsid w:val="00270BF9"/>
    <w:rsid w:val="002753D7"/>
    <w:rsid w:val="00276854"/>
    <w:rsid w:val="00280EA0"/>
    <w:rsid w:val="002822CE"/>
    <w:rsid w:val="002825C1"/>
    <w:rsid w:val="00285EBC"/>
    <w:rsid w:val="00292347"/>
    <w:rsid w:val="00297FF7"/>
    <w:rsid w:val="002A1583"/>
    <w:rsid w:val="002A2D02"/>
    <w:rsid w:val="002B4EDC"/>
    <w:rsid w:val="002C0D2D"/>
    <w:rsid w:val="002C4994"/>
    <w:rsid w:val="002D5FF8"/>
    <w:rsid w:val="002D6672"/>
    <w:rsid w:val="002E4003"/>
    <w:rsid w:val="00310590"/>
    <w:rsid w:val="003124DE"/>
    <w:rsid w:val="00312CB7"/>
    <w:rsid w:val="0032384C"/>
    <w:rsid w:val="00324008"/>
    <w:rsid w:val="003366CB"/>
    <w:rsid w:val="00337DAB"/>
    <w:rsid w:val="003535B1"/>
    <w:rsid w:val="003559F6"/>
    <w:rsid w:val="0037022F"/>
    <w:rsid w:val="003705C1"/>
    <w:rsid w:val="00373C68"/>
    <w:rsid w:val="00374D50"/>
    <w:rsid w:val="00382734"/>
    <w:rsid w:val="00384774"/>
    <w:rsid w:val="003900BF"/>
    <w:rsid w:val="00391738"/>
    <w:rsid w:val="00391B17"/>
    <w:rsid w:val="003A2DE9"/>
    <w:rsid w:val="003A3F9B"/>
    <w:rsid w:val="003A5D97"/>
    <w:rsid w:val="003B3876"/>
    <w:rsid w:val="003B396E"/>
    <w:rsid w:val="003B47D3"/>
    <w:rsid w:val="003B5872"/>
    <w:rsid w:val="003C39FC"/>
    <w:rsid w:val="003C5F0D"/>
    <w:rsid w:val="003C6195"/>
    <w:rsid w:val="003D0E52"/>
    <w:rsid w:val="003D0E82"/>
    <w:rsid w:val="003E4CEF"/>
    <w:rsid w:val="003E643D"/>
    <w:rsid w:val="003E709B"/>
    <w:rsid w:val="003F56A0"/>
    <w:rsid w:val="00404049"/>
    <w:rsid w:val="00406724"/>
    <w:rsid w:val="00407439"/>
    <w:rsid w:val="004107C2"/>
    <w:rsid w:val="004113E3"/>
    <w:rsid w:val="00412A30"/>
    <w:rsid w:val="00413770"/>
    <w:rsid w:val="004138AA"/>
    <w:rsid w:val="00424324"/>
    <w:rsid w:val="004259B5"/>
    <w:rsid w:val="004261B5"/>
    <w:rsid w:val="00426E59"/>
    <w:rsid w:val="00433150"/>
    <w:rsid w:val="00435B52"/>
    <w:rsid w:val="004361D5"/>
    <w:rsid w:val="004363A7"/>
    <w:rsid w:val="00436411"/>
    <w:rsid w:val="00451930"/>
    <w:rsid w:val="004617A0"/>
    <w:rsid w:val="00463BFB"/>
    <w:rsid w:val="0046612F"/>
    <w:rsid w:val="00466624"/>
    <w:rsid w:val="004743A3"/>
    <w:rsid w:val="00475087"/>
    <w:rsid w:val="004823F9"/>
    <w:rsid w:val="004825CE"/>
    <w:rsid w:val="00485998"/>
    <w:rsid w:val="00490A24"/>
    <w:rsid w:val="0049333A"/>
    <w:rsid w:val="004A172B"/>
    <w:rsid w:val="004A2E79"/>
    <w:rsid w:val="004A545E"/>
    <w:rsid w:val="004B2DB0"/>
    <w:rsid w:val="004C019C"/>
    <w:rsid w:val="004C07E0"/>
    <w:rsid w:val="004C0F64"/>
    <w:rsid w:val="004C4113"/>
    <w:rsid w:val="004C4287"/>
    <w:rsid w:val="004C4380"/>
    <w:rsid w:val="004C7C6B"/>
    <w:rsid w:val="004D2927"/>
    <w:rsid w:val="004D42AC"/>
    <w:rsid w:val="004D7861"/>
    <w:rsid w:val="004E04ED"/>
    <w:rsid w:val="004E4FDA"/>
    <w:rsid w:val="004E6F4D"/>
    <w:rsid w:val="004F112B"/>
    <w:rsid w:val="004F1751"/>
    <w:rsid w:val="004F3871"/>
    <w:rsid w:val="004F67D1"/>
    <w:rsid w:val="005026ED"/>
    <w:rsid w:val="00504779"/>
    <w:rsid w:val="00515894"/>
    <w:rsid w:val="0052073D"/>
    <w:rsid w:val="005257DE"/>
    <w:rsid w:val="00530C3A"/>
    <w:rsid w:val="00542745"/>
    <w:rsid w:val="00543BDA"/>
    <w:rsid w:val="005470BF"/>
    <w:rsid w:val="00554197"/>
    <w:rsid w:val="00557F76"/>
    <w:rsid w:val="00563137"/>
    <w:rsid w:val="00565E05"/>
    <w:rsid w:val="00574E48"/>
    <w:rsid w:val="00575EFC"/>
    <w:rsid w:val="005805CD"/>
    <w:rsid w:val="005815E8"/>
    <w:rsid w:val="005860DA"/>
    <w:rsid w:val="005951C8"/>
    <w:rsid w:val="0059550C"/>
    <w:rsid w:val="005A5389"/>
    <w:rsid w:val="005A6305"/>
    <w:rsid w:val="005B053C"/>
    <w:rsid w:val="005B244B"/>
    <w:rsid w:val="005B4BFE"/>
    <w:rsid w:val="005B70A6"/>
    <w:rsid w:val="005C0B38"/>
    <w:rsid w:val="005C11AC"/>
    <w:rsid w:val="005C3B48"/>
    <w:rsid w:val="005C5572"/>
    <w:rsid w:val="005D26F5"/>
    <w:rsid w:val="005E45A7"/>
    <w:rsid w:val="005E7967"/>
    <w:rsid w:val="00602285"/>
    <w:rsid w:val="00602E79"/>
    <w:rsid w:val="0060325C"/>
    <w:rsid w:val="00603D19"/>
    <w:rsid w:val="00607C00"/>
    <w:rsid w:val="00611F26"/>
    <w:rsid w:val="006176CB"/>
    <w:rsid w:val="00623792"/>
    <w:rsid w:val="006247B4"/>
    <w:rsid w:val="00627B6B"/>
    <w:rsid w:val="00632246"/>
    <w:rsid w:val="00634230"/>
    <w:rsid w:val="006370A6"/>
    <w:rsid w:val="00637609"/>
    <w:rsid w:val="00637A88"/>
    <w:rsid w:val="006417C4"/>
    <w:rsid w:val="00645517"/>
    <w:rsid w:val="006475FE"/>
    <w:rsid w:val="00647B4A"/>
    <w:rsid w:val="00652CD7"/>
    <w:rsid w:val="00655D6B"/>
    <w:rsid w:val="00657078"/>
    <w:rsid w:val="00657914"/>
    <w:rsid w:val="00660B52"/>
    <w:rsid w:val="00664A74"/>
    <w:rsid w:val="00664AE3"/>
    <w:rsid w:val="00664EF5"/>
    <w:rsid w:val="006660DC"/>
    <w:rsid w:val="00667345"/>
    <w:rsid w:val="00674793"/>
    <w:rsid w:val="00677594"/>
    <w:rsid w:val="006808B6"/>
    <w:rsid w:val="00684D35"/>
    <w:rsid w:val="00692AFB"/>
    <w:rsid w:val="00693111"/>
    <w:rsid w:val="00697283"/>
    <w:rsid w:val="006A1A9D"/>
    <w:rsid w:val="006A27D6"/>
    <w:rsid w:val="006A4B20"/>
    <w:rsid w:val="006C17BF"/>
    <w:rsid w:val="006C65A2"/>
    <w:rsid w:val="006C7C6A"/>
    <w:rsid w:val="006D1082"/>
    <w:rsid w:val="006D169F"/>
    <w:rsid w:val="006D17C2"/>
    <w:rsid w:val="006D4095"/>
    <w:rsid w:val="006D6624"/>
    <w:rsid w:val="006E4A43"/>
    <w:rsid w:val="006E71DC"/>
    <w:rsid w:val="006F1CF0"/>
    <w:rsid w:val="00700999"/>
    <w:rsid w:val="00704F32"/>
    <w:rsid w:val="00712C68"/>
    <w:rsid w:val="007145AE"/>
    <w:rsid w:val="00717518"/>
    <w:rsid w:val="00722466"/>
    <w:rsid w:val="00722FE9"/>
    <w:rsid w:val="00724009"/>
    <w:rsid w:val="00725162"/>
    <w:rsid w:val="00742437"/>
    <w:rsid w:val="00742FD6"/>
    <w:rsid w:val="00745FD2"/>
    <w:rsid w:val="00747804"/>
    <w:rsid w:val="007513F7"/>
    <w:rsid w:val="00752156"/>
    <w:rsid w:val="00752AB9"/>
    <w:rsid w:val="007539DB"/>
    <w:rsid w:val="007547A2"/>
    <w:rsid w:val="007555FF"/>
    <w:rsid w:val="00761657"/>
    <w:rsid w:val="007673D9"/>
    <w:rsid w:val="00772D6B"/>
    <w:rsid w:val="00773102"/>
    <w:rsid w:val="007736CD"/>
    <w:rsid w:val="00780B02"/>
    <w:rsid w:val="00781F53"/>
    <w:rsid w:val="0078399B"/>
    <w:rsid w:val="00790AC9"/>
    <w:rsid w:val="007A2A65"/>
    <w:rsid w:val="007B2DD4"/>
    <w:rsid w:val="007B5C80"/>
    <w:rsid w:val="007B6B12"/>
    <w:rsid w:val="007B74C3"/>
    <w:rsid w:val="007C26AB"/>
    <w:rsid w:val="007E2740"/>
    <w:rsid w:val="007E7479"/>
    <w:rsid w:val="007E7ECE"/>
    <w:rsid w:val="007F020B"/>
    <w:rsid w:val="007F2904"/>
    <w:rsid w:val="007F2C70"/>
    <w:rsid w:val="008012AA"/>
    <w:rsid w:val="00802728"/>
    <w:rsid w:val="0081019D"/>
    <w:rsid w:val="00813825"/>
    <w:rsid w:val="00825009"/>
    <w:rsid w:val="00825597"/>
    <w:rsid w:val="00830778"/>
    <w:rsid w:val="00833B3D"/>
    <w:rsid w:val="00834AA0"/>
    <w:rsid w:val="0084263D"/>
    <w:rsid w:val="00842DC3"/>
    <w:rsid w:val="00850E50"/>
    <w:rsid w:val="0085199F"/>
    <w:rsid w:val="00855C54"/>
    <w:rsid w:val="00856D5B"/>
    <w:rsid w:val="0086091B"/>
    <w:rsid w:val="008649ED"/>
    <w:rsid w:val="0086656C"/>
    <w:rsid w:val="00876BA8"/>
    <w:rsid w:val="00880D43"/>
    <w:rsid w:val="00883309"/>
    <w:rsid w:val="008A3220"/>
    <w:rsid w:val="008A471F"/>
    <w:rsid w:val="008A73E3"/>
    <w:rsid w:val="008B198C"/>
    <w:rsid w:val="008B19F0"/>
    <w:rsid w:val="008B1DD0"/>
    <w:rsid w:val="008C328A"/>
    <w:rsid w:val="008C6C6D"/>
    <w:rsid w:val="008C7B3F"/>
    <w:rsid w:val="008D63C4"/>
    <w:rsid w:val="008D6CAE"/>
    <w:rsid w:val="008D777D"/>
    <w:rsid w:val="008F55AE"/>
    <w:rsid w:val="00900CBA"/>
    <w:rsid w:val="00902F5C"/>
    <w:rsid w:val="009046A0"/>
    <w:rsid w:val="009106F7"/>
    <w:rsid w:val="00911F61"/>
    <w:rsid w:val="009208FC"/>
    <w:rsid w:val="00926A4D"/>
    <w:rsid w:val="00936272"/>
    <w:rsid w:val="00936A51"/>
    <w:rsid w:val="00947F71"/>
    <w:rsid w:val="00955138"/>
    <w:rsid w:val="00957EAA"/>
    <w:rsid w:val="00961C00"/>
    <w:rsid w:val="00962950"/>
    <w:rsid w:val="00964198"/>
    <w:rsid w:val="00970E79"/>
    <w:rsid w:val="00971152"/>
    <w:rsid w:val="00972026"/>
    <w:rsid w:val="009740B0"/>
    <w:rsid w:val="00984A0D"/>
    <w:rsid w:val="0098743B"/>
    <w:rsid w:val="00997CA6"/>
    <w:rsid w:val="009A1066"/>
    <w:rsid w:val="009A3CDC"/>
    <w:rsid w:val="009B7E84"/>
    <w:rsid w:val="009D5958"/>
    <w:rsid w:val="009E0062"/>
    <w:rsid w:val="009E1C87"/>
    <w:rsid w:val="009E5593"/>
    <w:rsid w:val="009E6B64"/>
    <w:rsid w:val="009F2AF5"/>
    <w:rsid w:val="009F3295"/>
    <w:rsid w:val="009F6C8B"/>
    <w:rsid w:val="00A04BBA"/>
    <w:rsid w:val="00A06045"/>
    <w:rsid w:val="00A06636"/>
    <w:rsid w:val="00A07B83"/>
    <w:rsid w:val="00A1081E"/>
    <w:rsid w:val="00A11ADD"/>
    <w:rsid w:val="00A220EB"/>
    <w:rsid w:val="00A25DBD"/>
    <w:rsid w:val="00A34182"/>
    <w:rsid w:val="00A34451"/>
    <w:rsid w:val="00A34FA3"/>
    <w:rsid w:val="00A37856"/>
    <w:rsid w:val="00A37E56"/>
    <w:rsid w:val="00A53B5C"/>
    <w:rsid w:val="00A5408A"/>
    <w:rsid w:val="00A607E6"/>
    <w:rsid w:val="00A63E90"/>
    <w:rsid w:val="00A70FA1"/>
    <w:rsid w:val="00A72507"/>
    <w:rsid w:val="00A72CBD"/>
    <w:rsid w:val="00A745F5"/>
    <w:rsid w:val="00A74FA4"/>
    <w:rsid w:val="00A756C5"/>
    <w:rsid w:val="00A76D2F"/>
    <w:rsid w:val="00A80477"/>
    <w:rsid w:val="00A843AB"/>
    <w:rsid w:val="00A8474D"/>
    <w:rsid w:val="00A936D5"/>
    <w:rsid w:val="00A97601"/>
    <w:rsid w:val="00A97B09"/>
    <w:rsid w:val="00AA04E3"/>
    <w:rsid w:val="00AA1499"/>
    <w:rsid w:val="00AB3460"/>
    <w:rsid w:val="00AB5AC1"/>
    <w:rsid w:val="00AD2FF1"/>
    <w:rsid w:val="00AD6DD2"/>
    <w:rsid w:val="00AE0CA6"/>
    <w:rsid w:val="00AE11FE"/>
    <w:rsid w:val="00AE44F4"/>
    <w:rsid w:val="00AE4EBE"/>
    <w:rsid w:val="00AE4F20"/>
    <w:rsid w:val="00AF29D7"/>
    <w:rsid w:val="00AF5B2F"/>
    <w:rsid w:val="00AF7E95"/>
    <w:rsid w:val="00B023B2"/>
    <w:rsid w:val="00B0412C"/>
    <w:rsid w:val="00B06D05"/>
    <w:rsid w:val="00B132C8"/>
    <w:rsid w:val="00B162E2"/>
    <w:rsid w:val="00B21CA7"/>
    <w:rsid w:val="00B24444"/>
    <w:rsid w:val="00B25AFF"/>
    <w:rsid w:val="00B27A62"/>
    <w:rsid w:val="00B3510C"/>
    <w:rsid w:val="00B36397"/>
    <w:rsid w:val="00B40179"/>
    <w:rsid w:val="00B415E7"/>
    <w:rsid w:val="00B45177"/>
    <w:rsid w:val="00B45DA1"/>
    <w:rsid w:val="00B555B2"/>
    <w:rsid w:val="00B56104"/>
    <w:rsid w:val="00B5719B"/>
    <w:rsid w:val="00B65B60"/>
    <w:rsid w:val="00B66648"/>
    <w:rsid w:val="00B7221D"/>
    <w:rsid w:val="00B75D60"/>
    <w:rsid w:val="00B76432"/>
    <w:rsid w:val="00B76702"/>
    <w:rsid w:val="00B82762"/>
    <w:rsid w:val="00B82DB1"/>
    <w:rsid w:val="00B9352E"/>
    <w:rsid w:val="00B93682"/>
    <w:rsid w:val="00BA3384"/>
    <w:rsid w:val="00BA4DC0"/>
    <w:rsid w:val="00BB03A6"/>
    <w:rsid w:val="00BB3B45"/>
    <w:rsid w:val="00BB5B19"/>
    <w:rsid w:val="00BC5C64"/>
    <w:rsid w:val="00BD092F"/>
    <w:rsid w:val="00BD634B"/>
    <w:rsid w:val="00BE0F02"/>
    <w:rsid w:val="00BE1CB3"/>
    <w:rsid w:val="00BE36C7"/>
    <w:rsid w:val="00BE5D90"/>
    <w:rsid w:val="00BE6312"/>
    <w:rsid w:val="00BE7280"/>
    <w:rsid w:val="00BF06B1"/>
    <w:rsid w:val="00BF2E59"/>
    <w:rsid w:val="00C013F9"/>
    <w:rsid w:val="00C0557A"/>
    <w:rsid w:val="00C06422"/>
    <w:rsid w:val="00C10286"/>
    <w:rsid w:val="00C20B1E"/>
    <w:rsid w:val="00C211D3"/>
    <w:rsid w:val="00C215BF"/>
    <w:rsid w:val="00C24E6C"/>
    <w:rsid w:val="00C25F45"/>
    <w:rsid w:val="00C326FC"/>
    <w:rsid w:val="00C354DC"/>
    <w:rsid w:val="00C40AB7"/>
    <w:rsid w:val="00C429C5"/>
    <w:rsid w:val="00C47960"/>
    <w:rsid w:val="00C5374A"/>
    <w:rsid w:val="00C55111"/>
    <w:rsid w:val="00C57638"/>
    <w:rsid w:val="00C66C90"/>
    <w:rsid w:val="00C7017F"/>
    <w:rsid w:val="00C77B77"/>
    <w:rsid w:val="00C818E3"/>
    <w:rsid w:val="00C915DF"/>
    <w:rsid w:val="00C9221A"/>
    <w:rsid w:val="00C975F2"/>
    <w:rsid w:val="00CA2202"/>
    <w:rsid w:val="00CA567C"/>
    <w:rsid w:val="00CB5D12"/>
    <w:rsid w:val="00CB78C3"/>
    <w:rsid w:val="00CC370D"/>
    <w:rsid w:val="00CD33BE"/>
    <w:rsid w:val="00CD388B"/>
    <w:rsid w:val="00CD5CF2"/>
    <w:rsid w:val="00CD6B18"/>
    <w:rsid w:val="00CE233D"/>
    <w:rsid w:val="00CE3BF7"/>
    <w:rsid w:val="00CE4291"/>
    <w:rsid w:val="00CE7319"/>
    <w:rsid w:val="00CF0102"/>
    <w:rsid w:val="00CF369D"/>
    <w:rsid w:val="00D02F14"/>
    <w:rsid w:val="00D06D82"/>
    <w:rsid w:val="00D1003B"/>
    <w:rsid w:val="00D12F51"/>
    <w:rsid w:val="00D20CA3"/>
    <w:rsid w:val="00D37BF8"/>
    <w:rsid w:val="00D430EB"/>
    <w:rsid w:val="00D44B43"/>
    <w:rsid w:val="00D51A53"/>
    <w:rsid w:val="00D52BB5"/>
    <w:rsid w:val="00D57B74"/>
    <w:rsid w:val="00D72225"/>
    <w:rsid w:val="00D729FC"/>
    <w:rsid w:val="00D77AB4"/>
    <w:rsid w:val="00D8426B"/>
    <w:rsid w:val="00D85296"/>
    <w:rsid w:val="00D852B3"/>
    <w:rsid w:val="00D85700"/>
    <w:rsid w:val="00D92EF4"/>
    <w:rsid w:val="00D9405E"/>
    <w:rsid w:val="00D971EB"/>
    <w:rsid w:val="00DA2B80"/>
    <w:rsid w:val="00DA5EFB"/>
    <w:rsid w:val="00DA6296"/>
    <w:rsid w:val="00DC51A7"/>
    <w:rsid w:val="00DC7084"/>
    <w:rsid w:val="00DD27FC"/>
    <w:rsid w:val="00DE0930"/>
    <w:rsid w:val="00DE3254"/>
    <w:rsid w:val="00DE7362"/>
    <w:rsid w:val="00DF422C"/>
    <w:rsid w:val="00E01891"/>
    <w:rsid w:val="00E02B5E"/>
    <w:rsid w:val="00E1045F"/>
    <w:rsid w:val="00E108A8"/>
    <w:rsid w:val="00E2064B"/>
    <w:rsid w:val="00E229A5"/>
    <w:rsid w:val="00E24902"/>
    <w:rsid w:val="00E317EF"/>
    <w:rsid w:val="00E41BB0"/>
    <w:rsid w:val="00E448B7"/>
    <w:rsid w:val="00E4766F"/>
    <w:rsid w:val="00E47BD4"/>
    <w:rsid w:val="00E53108"/>
    <w:rsid w:val="00E64794"/>
    <w:rsid w:val="00E71A9B"/>
    <w:rsid w:val="00E7206A"/>
    <w:rsid w:val="00E73D10"/>
    <w:rsid w:val="00E84413"/>
    <w:rsid w:val="00E91000"/>
    <w:rsid w:val="00EA0856"/>
    <w:rsid w:val="00EA0AB2"/>
    <w:rsid w:val="00EA6006"/>
    <w:rsid w:val="00EB3419"/>
    <w:rsid w:val="00ED000A"/>
    <w:rsid w:val="00ED40BB"/>
    <w:rsid w:val="00ED6B7A"/>
    <w:rsid w:val="00ED7D9F"/>
    <w:rsid w:val="00EE4C8F"/>
    <w:rsid w:val="00EE5993"/>
    <w:rsid w:val="00EE5E88"/>
    <w:rsid w:val="00EE7089"/>
    <w:rsid w:val="00EF3C8F"/>
    <w:rsid w:val="00EF7502"/>
    <w:rsid w:val="00EF766D"/>
    <w:rsid w:val="00F0385A"/>
    <w:rsid w:val="00F10BED"/>
    <w:rsid w:val="00F11063"/>
    <w:rsid w:val="00F11406"/>
    <w:rsid w:val="00F137CE"/>
    <w:rsid w:val="00F207D4"/>
    <w:rsid w:val="00F21567"/>
    <w:rsid w:val="00F24483"/>
    <w:rsid w:val="00F25C8B"/>
    <w:rsid w:val="00F262CB"/>
    <w:rsid w:val="00F307DA"/>
    <w:rsid w:val="00F3251C"/>
    <w:rsid w:val="00F34948"/>
    <w:rsid w:val="00F36361"/>
    <w:rsid w:val="00F37F0D"/>
    <w:rsid w:val="00F437C0"/>
    <w:rsid w:val="00F468ED"/>
    <w:rsid w:val="00F47FA2"/>
    <w:rsid w:val="00F55096"/>
    <w:rsid w:val="00F5707D"/>
    <w:rsid w:val="00F63E00"/>
    <w:rsid w:val="00F70462"/>
    <w:rsid w:val="00F74FCA"/>
    <w:rsid w:val="00F81493"/>
    <w:rsid w:val="00F828FF"/>
    <w:rsid w:val="00F8613E"/>
    <w:rsid w:val="00F91553"/>
    <w:rsid w:val="00F91A69"/>
    <w:rsid w:val="00F968FC"/>
    <w:rsid w:val="00FB5CED"/>
    <w:rsid w:val="00FC5A0D"/>
    <w:rsid w:val="00FC7E56"/>
    <w:rsid w:val="00FD2E19"/>
    <w:rsid w:val="00FD3044"/>
    <w:rsid w:val="00FD775B"/>
    <w:rsid w:val="00FD7A7F"/>
    <w:rsid w:val="00FE0355"/>
    <w:rsid w:val="00FE18E9"/>
    <w:rsid w:val="00FE6394"/>
    <w:rsid w:val="00FE6DD2"/>
    <w:rsid w:val="00FF4558"/>
    <w:rsid w:val="00FF6EFB"/>
    <w:rsid w:val="012F94EA"/>
    <w:rsid w:val="016770E5"/>
    <w:rsid w:val="01D88055"/>
    <w:rsid w:val="02317E15"/>
    <w:rsid w:val="0249D0DE"/>
    <w:rsid w:val="0281AFA7"/>
    <w:rsid w:val="02AB600C"/>
    <w:rsid w:val="02ED19A2"/>
    <w:rsid w:val="0301B119"/>
    <w:rsid w:val="0316825D"/>
    <w:rsid w:val="0341C38E"/>
    <w:rsid w:val="03694CEB"/>
    <w:rsid w:val="037345B3"/>
    <w:rsid w:val="0374D015"/>
    <w:rsid w:val="03B3AEE3"/>
    <w:rsid w:val="03E5A13F"/>
    <w:rsid w:val="03EE1B5D"/>
    <w:rsid w:val="03F8A5D2"/>
    <w:rsid w:val="03FF2799"/>
    <w:rsid w:val="040B54F9"/>
    <w:rsid w:val="045A28BA"/>
    <w:rsid w:val="048CDD20"/>
    <w:rsid w:val="04A04065"/>
    <w:rsid w:val="04BEF868"/>
    <w:rsid w:val="04E01A89"/>
    <w:rsid w:val="04F18831"/>
    <w:rsid w:val="05260AF6"/>
    <w:rsid w:val="052AC46C"/>
    <w:rsid w:val="05A840C0"/>
    <w:rsid w:val="05AB4758"/>
    <w:rsid w:val="05B4C875"/>
    <w:rsid w:val="05B95069"/>
    <w:rsid w:val="05C6661B"/>
    <w:rsid w:val="05FEA2B6"/>
    <w:rsid w:val="060B94A8"/>
    <w:rsid w:val="06144B7C"/>
    <w:rsid w:val="0648D0E2"/>
    <w:rsid w:val="064D8BA7"/>
    <w:rsid w:val="065BB2DA"/>
    <w:rsid w:val="0684D95F"/>
    <w:rsid w:val="06880CFD"/>
    <w:rsid w:val="06B65764"/>
    <w:rsid w:val="06D1E73E"/>
    <w:rsid w:val="0741951F"/>
    <w:rsid w:val="0749E627"/>
    <w:rsid w:val="0761F1A2"/>
    <w:rsid w:val="078217A4"/>
    <w:rsid w:val="07957AE9"/>
    <w:rsid w:val="07A03CFF"/>
    <w:rsid w:val="07B412D8"/>
    <w:rsid w:val="07B50E43"/>
    <w:rsid w:val="07DB5D0E"/>
    <w:rsid w:val="084DBB4A"/>
    <w:rsid w:val="0859559A"/>
    <w:rsid w:val="08738187"/>
    <w:rsid w:val="087AB37E"/>
    <w:rsid w:val="08809441"/>
    <w:rsid w:val="0899E13B"/>
    <w:rsid w:val="08EDECF1"/>
    <w:rsid w:val="08F159C2"/>
    <w:rsid w:val="08F39885"/>
    <w:rsid w:val="090064BD"/>
    <w:rsid w:val="09092801"/>
    <w:rsid w:val="097C411E"/>
    <w:rsid w:val="098AE1A7"/>
    <w:rsid w:val="09D0D4B5"/>
    <w:rsid w:val="09D40EE7"/>
    <w:rsid w:val="0A0E10EF"/>
    <w:rsid w:val="0A2EA7C5"/>
    <w:rsid w:val="0A4BA0E7"/>
    <w:rsid w:val="0A550D55"/>
    <w:rsid w:val="0AB7EE94"/>
    <w:rsid w:val="0AD9037C"/>
    <w:rsid w:val="0B14BA21"/>
    <w:rsid w:val="0B1AF585"/>
    <w:rsid w:val="0B1C74D6"/>
    <w:rsid w:val="0B2CB696"/>
    <w:rsid w:val="0B3FC857"/>
    <w:rsid w:val="0B619062"/>
    <w:rsid w:val="0B779432"/>
    <w:rsid w:val="0B8BE2AD"/>
    <w:rsid w:val="0B92F13B"/>
    <w:rsid w:val="0BA851EF"/>
    <w:rsid w:val="0BBC8B21"/>
    <w:rsid w:val="0BD13E43"/>
    <w:rsid w:val="0C6A6EBA"/>
    <w:rsid w:val="0C9E1623"/>
    <w:rsid w:val="0CC2E710"/>
    <w:rsid w:val="0CCB9DE4"/>
    <w:rsid w:val="0CCE08FD"/>
    <w:rsid w:val="0CD69798"/>
    <w:rsid w:val="0CDC4E7C"/>
    <w:rsid w:val="0D179278"/>
    <w:rsid w:val="0D253ED9"/>
    <w:rsid w:val="0D28606E"/>
    <w:rsid w:val="0D471277"/>
    <w:rsid w:val="0D65B991"/>
    <w:rsid w:val="0D6DF70F"/>
    <w:rsid w:val="0D787EE3"/>
    <w:rsid w:val="0DA279D4"/>
    <w:rsid w:val="0DC98B75"/>
    <w:rsid w:val="0DF1FB38"/>
    <w:rsid w:val="0E2539DD"/>
    <w:rsid w:val="0E38FE19"/>
    <w:rsid w:val="0E42D4F9"/>
    <w:rsid w:val="0E4F8211"/>
    <w:rsid w:val="0E762E42"/>
    <w:rsid w:val="0E94A930"/>
    <w:rsid w:val="0F0A36AF"/>
    <w:rsid w:val="0F463F2C"/>
    <w:rsid w:val="0F79D632"/>
    <w:rsid w:val="0FB3D8AF"/>
    <w:rsid w:val="0FFE8682"/>
    <w:rsid w:val="101AA09B"/>
    <w:rsid w:val="102D79A1"/>
    <w:rsid w:val="102F7D72"/>
    <w:rsid w:val="1031AFF2"/>
    <w:rsid w:val="10363E93"/>
    <w:rsid w:val="1057CBEC"/>
    <w:rsid w:val="105FDED8"/>
    <w:rsid w:val="1060096A"/>
    <w:rsid w:val="106CB318"/>
    <w:rsid w:val="10711305"/>
    <w:rsid w:val="10E2D40B"/>
    <w:rsid w:val="10E43230"/>
    <w:rsid w:val="1138383B"/>
    <w:rsid w:val="1164A935"/>
    <w:rsid w:val="116D9079"/>
    <w:rsid w:val="117B6A69"/>
    <w:rsid w:val="122195EE"/>
    <w:rsid w:val="127EAB14"/>
    <w:rsid w:val="12DF5B65"/>
    <w:rsid w:val="130EBE38"/>
    <w:rsid w:val="1317ACAA"/>
    <w:rsid w:val="1382588B"/>
    <w:rsid w:val="13A167B7"/>
    <w:rsid w:val="13C678AE"/>
    <w:rsid w:val="13D91538"/>
    <w:rsid w:val="13E4F818"/>
    <w:rsid w:val="14008EC9"/>
    <w:rsid w:val="14013D68"/>
    <w:rsid w:val="14056E17"/>
    <w:rsid w:val="14E6F919"/>
    <w:rsid w:val="14F04A06"/>
    <w:rsid w:val="15374B0F"/>
    <w:rsid w:val="1546B935"/>
    <w:rsid w:val="1568BD03"/>
    <w:rsid w:val="157383E6"/>
    <w:rsid w:val="15AFF6D2"/>
    <w:rsid w:val="15E23958"/>
    <w:rsid w:val="162E2DEC"/>
    <w:rsid w:val="162FE983"/>
    <w:rsid w:val="165E8D64"/>
    <w:rsid w:val="16723000"/>
    <w:rsid w:val="16B481C1"/>
    <w:rsid w:val="16BF43D7"/>
    <w:rsid w:val="16C4993B"/>
    <w:rsid w:val="16FA63E6"/>
    <w:rsid w:val="173F5AD5"/>
    <w:rsid w:val="1753ED37"/>
    <w:rsid w:val="17778B2D"/>
    <w:rsid w:val="179251B9"/>
    <w:rsid w:val="17ABF271"/>
    <w:rsid w:val="17BC821C"/>
    <w:rsid w:val="17D6A3F7"/>
    <w:rsid w:val="17D90B74"/>
    <w:rsid w:val="1834A27B"/>
    <w:rsid w:val="1850C4FD"/>
    <w:rsid w:val="185314A9"/>
    <w:rsid w:val="1862FBF3"/>
    <w:rsid w:val="189E701F"/>
    <w:rsid w:val="18A9C3E2"/>
    <w:rsid w:val="18D44BB3"/>
    <w:rsid w:val="19380CAE"/>
    <w:rsid w:val="198FCA9A"/>
    <w:rsid w:val="1A08E583"/>
    <w:rsid w:val="1A51323B"/>
    <w:rsid w:val="1A630F22"/>
    <w:rsid w:val="1A7FACE0"/>
    <w:rsid w:val="1A9E55BF"/>
    <w:rsid w:val="1AC92442"/>
    <w:rsid w:val="1B420E0A"/>
    <w:rsid w:val="1B4CE1B9"/>
    <w:rsid w:val="1B7F4A44"/>
    <w:rsid w:val="1B9A4BC2"/>
    <w:rsid w:val="1BA4394C"/>
    <w:rsid w:val="1BD47FEB"/>
    <w:rsid w:val="1BDADF87"/>
    <w:rsid w:val="1BE0CD2C"/>
    <w:rsid w:val="1C2A1F09"/>
    <w:rsid w:val="1C479518"/>
    <w:rsid w:val="1CA38955"/>
    <w:rsid w:val="1D68216D"/>
    <w:rsid w:val="1D71B112"/>
    <w:rsid w:val="1D7E3124"/>
    <w:rsid w:val="1DDB2180"/>
    <w:rsid w:val="1DDF7BE5"/>
    <w:rsid w:val="1DE52BE1"/>
    <w:rsid w:val="1E3EF414"/>
    <w:rsid w:val="1E50D497"/>
    <w:rsid w:val="1E727D5B"/>
    <w:rsid w:val="1E793BF1"/>
    <w:rsid w:val="1E7D3F71"/>
    <w:rsid w:val="1EA8F099"/>
    <w:rsid w:val="1EABCBBA"/>
    <w:rsid w:val="1EAD651C"/>
    <w:rsid w:val="1EB57C0C"/>
    <w:rsid w:val="1EB85F80"/>
    <w:rsid w:val="1F1265E1"/>
    <w:rsid w:val="1F2FCFE3"/>
    <w:rsid w:val="1F98D5E2"/>
    <w:rsid w:val="1F9CFEF7"/>
    <w:rsid w:val="1F9E5284"/>
    <w:rsid w:val="1FAEE4FA"/>
    <w:rsid w:val="203CEA68"/>
    <w:rsid w:val="2062108F"/>
    <w:rsid w:val="2063C36D"/>
    <w:rsid w:val="20B4D326"/>
    <w:rsid w:val="20C1E018"/>
    <w:rsid w:val="20D4EE90"/>
    <w:rsid w:val="20D67D04"/>
    <w:rsid w:val="20E1D4DE"/>
    <w:rsid w:val="20E96E51"/>
    <w:rsid w:val="21032924"/>
    <w:rsid w:val="2119E57F"/>
    <w:rsid w:val="215A8088"/>
    <w:rsid w:val="21699F34"/>
    <w:rsid w:val="217D7FC9"/>
    <w:rsid w:val="2187DDE1"/>
    <w:rsid w:val="21A469DA"/>
    <w:rsid w:val="21DA9661"/>
    <w:rsid w:val="221E662C"/>
    <w:rsid w:val="2229C190"/>
    <w:rsid w:val="228F1152"/>
    <w:rsid w:val="229064DF"/>
    <w:rsid w:val="23088DA7"/>
    <w:rsid w:val="231309E8"/>
    <w:rsid w:val="231E8AE6"/>
    <w:rsid w:val="232EFCC3"/>
    <w:rsid w:val="233D45DE"/>
    <w:rsid w:val="23437618"/>
    <w:rsid w:val="234FD442"/>
    <w:rsid w:val="236F777B"/>
    <w:rsid w:val="23C099C3"/>
    <w:rsid w:val="24054BCC"/>
    <w:rsid w:val="2451E1B3"/>
    <w:rsid w:val="249FAB3A"/>
    <w:rsid w:val="24A25796"/>
    <w:rsid w:val="24B8D6A3"/>
    <w:rsid w:val="24BFE34A"/>
    <w:rsid w:val="24C6A1E0"/>
    <w:rsid w:val="24ECE0CC"/>
    <w:rsid w:val="2513F499"/>
    <w:rsid w:val="2583941C"/>
    <w:rsid w:val="25DF6796"/>
    <w:rsid w:val="26393B5C"/>
    <w:rsid w:val="263F2FA9"/>
    <w:rsid w:val="2645F788"/>
    <w:rsid w:val="26FF03B3"/>
    <w:rsid w:val="271FFD1A"/>
    <w:rsid w:val="272D0798"/>
    <w:rsid w:val="27513DA0"/>
    <w:rsid w:val="2777868A"/>
    <w:rsid w:val="2786FBF4"/>
    <w:rsid w:val="27AC2EE6"/>
    <w:rsid w:val="27E19005"/>
    <w:rsid w:val="27F5EDD4"/>
    <w:rsid w:val="282B53D8"/>
    <w:rsid w:val="2830E259"/>
    <w:rsid w:val="285A407C"/>
    <w:rsid w:val="28748995"/>
    <w:rsid w:val="288A6627"/>
    <w:rsid w:val="289D4849"/>
    <w:rsid w:val="28B55536"/>
    <w:rsid w:val="28B55FD8"/>
    <w:rsid w:val="28C668D9"/>
    <w:rsid w:val="28D8DA97"/>
    <w:rsid w:val="28E25D5A"/>
    <w:rsid w:val="2900E28C"/>
    <w:rsid w:val="29187C22"/>
    <w:rsid w:val="2931C288"/>
    <w:rsid w:val="2950B8BD"/>
    <w:rsid w:val="29B83EC0"/>
    <w:rsid w:val="2A9BFC2E"/>
    <w:rsid w:val="2AEFBD85"/>
    <w:rsid w:val="2AF25306"/>
    <w:rsid w:val="2B192F32"/>
    <w:rsid w:val="2B2D7315"/>
    <w:rsid w:val="2B384AE1"/>
    <w:rsid w:val="2B6AC038"/>
    <w:rsid w:val="2B816377"/>
    <w:rsid w:val="2B9215A4"/>
    <w:rsid w:val="2BAB6BA1"/>
    <w:rsid w:val="2BC16F71"/>
    <w:rsid w:val="2BF5BD39"/>
    <w:rsid w:val="2C511192"/>
    <w:rsid w:val="2C782800"/>
    <w:rsid w:val="2CA0B793"/>
    <w:rsid w:val="2CCE5725"/>
    <w:rsid w:val="2CDCF7AE"/>
    <w:rsid w:val="2CE55714"/>
    <w:rsid w:val="2D814917"/>
    <w:rsid w:val="2DE46561"/>
    <w:rsid w:val="2E6A3845"/>
    <w:rsid w:val="2E91DE5E"/>
    <w:rsid w:val="2E93CDAA"/>
    <w:rsid w:val="2EB381CC"/>
    <w:rsid w:val="2EF0BE06"/>
    <w:rsid w:val="2F358224"/>
    <w:rsid w:val="2F7C78F4"/>
    <w:rsid w:val="2F8A54B9"/>
    <w:rsid w:val="2F954891"/>
    <w:rsid w:val="2F9D3546"/>
    <w:rsid w:val="2FF8E05D"/>
    <w:rsid w:val="302E6483"/>
    <w:rsid w:val="303E51C6"/>
    <w:rsid w:val="305B6205"/>
    <w:rsid w:val="30621798"/>
    <w:rsid w:val="307A7675"/>
    <w:rsid w:val="307FE327"/>
    <w:rsid w:val="30859DFB"/>
    <w:rsid w:val="30987FF3"/>
    <w:rsid w:val="309E2DE5"/>
    <w:rsid w:val="30A058F4"/>
    <w:rsid w:val="30F51CBB"/>
    <w:rsid w:val="30FC16F6"/>
    <w:rsid w:val="3109D0A6"/>
    <w:rsid w:val="314C3230"/>
    <w:rsid w:val="31554975"/>
    <w:rsid w:val="315F12BD"/>
    <w:rsid w:val="318E6113"/>
    <w:rsid w:val="323CD57C"/>
    <w:rsid w:val="32524F21"/>
    <w:rsid w:val="3257D4B7"/>
    <w:rsid w:val="328E7E53"/>
    <w:rsid w:val="32985533"/>
    <w:rsid w:val="32ACB910"/>
    <w:rsid w:val="32EAF2B8"/>
    <w:rsid w:val="32F56F2B"/>
    <w:rsid w:val="3318D0AE"/>
    <w:rsid w:val="332D842D"/>
    <w:rsid w:val="33797D66"/>
    <w:rsid w:val="337F8FA8"/>
    <w:rsid w:val="3387EF0E"/>
    <w:rsid w:val="338A3EBA"/>
    <w:rsid w:val="33A0B1C9"/>
    <w:rsid w:val="33E4DF6A"/>
    <w:rsid w:val="33FDD255"/>
    <w:rsid w:val="34475BD0"/>
    <w:rsid w:val="345406BC"/>
    <w:rsid w:val="3468D800"/>
    <w:rsid w:val="3486FD5B"/>
    <w:rsid w:val="3489F2B3"/>
    <w:rsid w:val="34E99D2A"/>
    <w:rsid w:val="34FC2CE0"/>
    <w:rsid w:val="3543378B"/>
    <w:rsid w:val="357FA578"/>
    <w:rsid w:val="3580A197"/>
    <w:rsid w:val="35AF0E13"/>
    <w:rsid w:val="35E78F88"/>
    <w:rsid w:val="35F80111"/>
    <w:rsid w:val="36203936"/>
    <w:rsid w:val="362132B4"/>
    <w:rsid w:val="362288E2"/>
    <w:rsid w:val="363C291E"/>
    <w:rsid w:val="36561229"/>
    <w:rsid w:val="365CD0BF"/>
    <w:rsid w:val="36BE0077"/>
    <w:rsid w:val="370096DD"/>
    <w:rsid w:val="370D0D24"/>
    <w:rsid w:val="37125E94"/>
    <w:rsid w:val="371DAE21"/>
    <w:rsid w:val="37643E72"/>
    <w:rsid w:val="3771E7A9"/>
    <w:rsid w:val="3774E799"/>
    <w:rsid w:val="379FEF3B"/>
    <w:rsid w:val="37F98B31"/>
    <w:rsid w:val="382EECEE"/>
    <w:rsid w:val="3834242B"/>
    <w:rsid w:val="383AAB23"/>
    <w:rsid w:val="383E8220"/>
    <w:rsid w:val="3878B808"/>
    <w:rsid w:val="38A24CBD"/>
    <w:rsid w:val="38CEA82F"/>
    <w:rsid w:val="38F357BA"/>
    <w:rsid w:val="38F4066E"/>
    <w:rsid w:val="39124B91"/>
    <w:rsid w:val="3914EED1"/>
    <w:rsid w:val="391CC7D2"/>
    <w:rsid w:val="39335340"/>
    <w:rsid w:val="39344F5F"/>
    <w:rsid w:val="3935E2B2"/>
    <w:rsid w:val="393E1556"/>
    <w:rsid w:val="394148F4"/>
    <w:rsid w:val="3988A9D4"/>
    <w:rsid w:val="39BD7C3D"/>
    <w:rsid w:val="39DB819B"/>
    <w:rsid w:val="39E1F70B"/>
    <w:rsid w:val="39F5D161"/>
    <w:rsid w:val="3A005F97"/>
    <w:rsid w:val="3A0470EF"/>
    <w:rsid w:val="3A3EB737"/>
    <w:rsid w:val="3A57DCF3"/>
    <w:rsid w:val="3A5F3F3F"/>
    <w:rsid w:val="3AA8F0F3"/>
    <w:rsid w:val="3AED7602"/>
    <w:rsid w:val="3AFE0878"/>
    <w:rsid w:val="3B014B27"/>
    <w:rsid w:val="3B08E13F"/>
    <w:rsid w:val="3B0E9823"/>
    <w:rsid w:val="3B2B05FA"/>
    <w:rsid w:val="3B336910"/>
    <w:rsid w:val="3B3B95A5"/>
    <w:rsid w:val="3B9F11C6"/>
    <w:rsid w:val="3BB16C69"/>
    <w:rsid w:val="3BB6E2FA"/>
    <w:rsid w:val="3BB8688F"/>
    <w:rsid w:val="3BDC25C7"/>
    <w:rsid w:val="3D156C89"/>
    <w:rsid w:val="3D7D7B36"/>
    <w:rsid w:val="3E06D66C"/>
    <w:rsid w:val="3E3BA4A1"/>
    <w:rsid w:val="3E63FE66"/>
    <w:rsid w:val="3E6822AE"/>
    <w:rsid w:val="3E9DA192"/>
    <w:rsid w:val="3EA8F088"/>
    <w:rsid w:val="3EB966DE"/>
    <w:rsid w:val="3ED1604B"/>
    <w:rsid w:val="3EE6318F"/>
    <w:rsid w:val="3EF91387"/>
    <w:rsid w:val="3F180E1F"/>
    <w:rsid w:val="3F18632C"/>
    <w:rsid w:val="3F40522B"/>
    <w:rsid w:val="3F63133B"/>
    <w:rsid w:val="3F7C3510"/>
    <w:rsid w:val="3F958A73"/>
    <w:rsid w:val="3FCFB309"/>
    <w:rsid w:val="3FF59F5C"/>
    <w:rsid w:val="4017FB05"/>
    <w:rsid w:val="40B50EBF"/>
    <w:rsid w:val="40BA3774"/>
    <w:rsid w:val="41111505"/>
    <w:rsid w:val="4131F34C"/>
    <w:rsid w:val="413741E8"/>
    <w:rsid w:val="4141D88A"/>
    <w:rsid w:val="415B6158"/>
    <w:rsid w:val="419BD38E"/>
    <w:rsid w:val="41A77D2A"/>
    <w:rsid w:val="41B05847"/>
    <w:rsid w:val="41B5298B"/>
    <w:rsid w:val="41BA8434"/>
    <w:rsid w:val="41C49362"/>
    <w:rsid w:val="41CB51F8"/>
    <w:rsid w:val="4207CE2D"/>
    <w:rsid w:val="4232F166"/>
    <w:rsid w:val="4272403F"/>
    <w:rsid w:val="42BC36E3"/>
    <w:rsid w:val="42C60557"/>
    <w:rsid w:val="42F9913F"/>
    <w:rsid w:val="434245E1"/>
    <w:rsid w:val="4370D19C"/>
    <w:rsid w:val="43B02B82"/>
    <w:rsid w:val="43B0E146"/>
    <w:rsid w:val="43D7B8A5"/>
    <w:rsid w:val="43F4EFA0"/>
    <w:rsid w:val="43F6A6C5"/>
    <w:rsid w:val="441F49E2"/>
    <w:rsid w:val="447848C7"/>
    <w:rsid w:val="449FADA0"/>
    <w:rsid w:val="44C6BD37"/>
    <w:rsid w:val="450D2B17"/>
    <w:rsid w:val="452CAC68"/>
    <w:rsid w:val="453129C4"/>
    <w:rsid w:val="453E414E"/>
    <w:rsid w:val="45570E4D"/>
    <w:rsid w:val="45A6ACAB"/>
    <w:rsid w:val="45B7E917"/>
    <w:rsid w:val="45D0E8A1"/>
    <w:rsid w:val="45F9EA14"/>
    <w:rsid w:val="460082CF"/>
    <w:rsid w:val="4644AA22"/>
    <w:rsid w:val="46521FAB"/>
    <w:rsid w:val="465BF73B"/>
    <w:rsid w:val="46776278"/>
    <w:rsid w:val="4689365C"/>
    <w:rsid w:val="4689A111"/>
    <w:rsid w:val="46A1EA49"/>
    <w:rsid w:val="46DA6AF5"/>
    <w:rsid w:val="46FE4DC5"/>
    <w:rsid w:val="47883E44"/>
    <w:rsid w:val="4794E2F3"/>
    <w:rsid w:val="479C3D37"/>
    <w:rsid w:val="47AE6EF9"/>
    <w:rsid w:val="47BF25D1"/>
    <w:rsid w:val="47C57A7E"/>
    <w:rsid w:val="47D9C8F9"/>
    <w:rsid w:val="47DA59B3"/>
    <w:rsid w:val="47EFDB11"/>
    <w:rsid w:val="48044F91"/>
    <w:rsid w:val="481EBFE8"/>
    <w:rsid w:val="4856F040"/>
    <w:rsid w:val="48D48D41"/>
    <w:rsid w:val="48D5AA23"/>
    <w:rsid w:val="48DFB5D6"/>
    <w:rsid w:val="4911C97B"/>
    <w:rsid w:val="494E0996"/>
    <w:rsid w:val="49894D92"/>
    <w:rsid w:val="498B5163"/>
    <w:rsid w:val="49AE9A79"/>
    <w:rsid w:val="49B39FDD"/>
    <w:rsid w:val="49B3B0C6"/>
    <w:rsid w:val="4A1A362C"/>
    <w:rsid w:val="4A71972A"/>
    <w:rsid w:val="4A732029"/>
    <w:rsid w:val="4A93B09D"/>
    <w:rsid w:val="4A94AE94"/>
    <w:rsid w:val="4AF20787"/>
    <w:rsid w:val="4AFCCA4D"/>
    <w:rsid w:val="4AFE54C8"/>
    <w:rsid w:val="4B27866B"/>
    <w:rsid w:val="4B427435"/>
    <w:rsid w:val="4B6CD769"/>
    <w:rsid w:val="4B701668"/>
    <w:rsid w:val="4BA24805"/>
    <w:rsid w:val="4BF14D72"/>
    <w:rsid w:val="4BFDC2EC"/>
    <w:rsid w:val="4C254B64"/>
    <w:rsid w:val="4C4E709F"/>
    <w:rsid w:val="4CADEFB6"/>
    <w:rsid w:val="4D0A54C7"/>
    <w:rsid w:val="4D2501ED"/>
    <w:rsid w:val="4D7D1B08"/>
    <w:rsid w:val="4DB0BA37"/>
    <w:rsid w:val="4DEE1235"/>
    <w:rsid w:val="4E5632F0"/>
    <w:rsid w:val="4E7A5501"/>
    <w:rsid w:val="4EFD81A8"/>
    <w:rsid w:val="4F13EBB4"/>
    <w:rsid w:val="4F1AA2ED"/>
    <w:rsid w:val="4F2685BC"/>
    <w:rsid w:val="4F3D8069"/>
    <w:rsid w:val="4F8DCB1B"/>
    <w:rsid w:val="4FA26C1E"/>
    <w:rsid w:val="4FA32799"/>
    <w:rsid w:val="500F34F6"/>
    <w:rsid w:val="501055B2"/>
    <w:rsid w:val="50206D2C"/>
    <w:rsid w:val="502F0DB5"/>
    <w:rsid w:val="5032DE64"/>
    <w:rsid w:val="506CA0FA"/>
    <w:rsid w:val="509384FA"/>
    <w:rsid w:val="50D2D3D3"/>
    <w:rsid w:val="50DB1732"/>
    <w:rsid w:val="51129F29"/>
    <w:rsid w:val="511CCA77"/>
    <w:rsid w:val="512010C2"/>
    <w:rsid w:val="51998A76"/>
    <w:rsid w:val="51DD8546"/>
    <w:rsid w:val="51DE8406"/>
    <w:rsid w:val="51F3554A"/>
    <w:rsid w:val="52300EBB"/>
    <w:rsid w:val="52490447"/>
    <w:rsid w:val="5283059F"/>
    <w:rsid w:val="5294B14A"/>
    <w:rsid w:val="52BC5062"/>
    <w:rsid w:val="52C0ADC4"/>
    <w:rsid w:val="52C4D465"/>
    <w:rsid w:val="52DC6AC0"/>
    <w:rsid w:val="530CBCBC"/>
    <w:rsid w:val="5398A6C8"/>
    <w:rsid w:val="539A77C8"/>
    <w:rsid w:val="539F0BE9"/>
    <w:rsid w:val="53AD780C"/>
    <w:rsid w:val="53B42D9F"/>
    <w:rsid w:val="53E4297C"/>
    <w:rsid w:val="5428C094"/>
    <w:rsid w:val="544732C2"/>
    <w:rsid w:val="545AE0A9"/>
    <w:rsid w:val="546BEB50"/>
    <w:rsid w:val="549FFED6"/>
    <w:rsid w:val="54B0E23F"/>
    <w:rsid w:val="54E70107"/>
    <w:rsid w:val="54EFEF79"/>
    <w:rsid w:val="558B529B"/>
    <w:rsid w:val="558EEB83"/>
    <w:rsid w:val="55CC45DF"/>
    <w:rsid w:val="55DFA924"/>
    <w:rsid w:val="55EA6B3A"/>
    <w:rsid w:val="56091039"/>
    <w:rsid w:val="563D08BF"/>
    <w:rsid w:val="56592579"/>
    <w:rsid w:val="566573B5"/>
    <w:rsid w:val="568AB923"/>
    <w:rsid w:val="568C8A23"/>
    <w:rsid w:val="56C9C65D"/>
    <w:rsid w:val="56CB936D"/>
    <w:rsid w:val="56D3A980"/>
    <w:rsid w:val="56DC54C1"/>
    <w:rsid w:val="56EBEB18"/>
    <w:rsid w:val="574AFD67"/>
    <w:rsid w:val="57704034"/>
    <w:rsid w:val="5775F718"/>
    <w:rsid w:val="57921131"/>
    <w:rsid w:val="579B1B99"/>
    <w:rsid w:val="57B01FAE"/>
    <w:rsid w:val="57C1AC9D"/>
    <w:rsid w:val="5814445A"/>
    <w:rsid w:val="58487ED7"/>
    <w:rsid w:val="58501186"/>
    <w:rsid w:val="58649007"/>
    <w:rsid w:val="5880FDDE"/>
    <w:rsid w:val="588BA3D4"/>
    <w:rsid w:val="58F44431"/>
    <w:rsid w:val="58F47702"/>
    <w:rsid w:val="59034F29"/>
    <w:rsid w:val="597348BB"/>
    <w:rsid w:val="5989F692"/>
    <w:rsid w:val="59C765C7"/>
    <w:rsid w:val="59E0479F"/>
    <w:rsid w:val="5A10A717"/>
    <w:rsid w:val="5A3D0FC2"/>
    <w:rsid w:val="5A64749B"/>
    <w:rsid w:val="5AAC7D99"/>
    <w:rsid w:val="5AC51536"/>
    <w:rsid w:val="5B11A8D2"/>
    <w:rsid w:val="5B4BA138"/>
    <w:rsid w:val="5B72953D"/>
    <w:rsid w:val="5B731039"/>
    <w:rsid w:val="5B7DB62F"/>
    <w:rsid w:val="5B8B09A6"/>
    <w:rsid w:val="5BB06A95"/>
    <w:rsid w:val="5BD00095"/>
    <w:rsid w:val="5BDA3B93"/>
    <w:rsid w:val="5BDAC7AE"/>
    <w:rsid w:val="5BEAE543"/>
    <w:rsid w:val="5BF462C4"/>
    <w:rsid w:val="5BFCCB46"/>
    <w:rsid w:val="5C02DEB0"/>
    <w:rsid w:val="5C186C3B"/>
    <w:rsid w:val="5C2B804C"/>
    <w:rsid w:val="5C49986B"/>
    <w:rsid w:val="5C76479B"/>
    <w:rsid w:val="5C939DDD"/>
    <w:rsid w:val="5C9F31F0"/>
    <w:rsid w:val="5CA0F921"/>
    <w:rsid w:val="5CD62338"/>
    <w:rsid w:val="5D02B972"/>
    <w:rsid w:val="5D38DF24"/>
    <w:rsid w:val="5D4C067F"/>
    <w:rsid w:val="5D68C549"/>
    <w:rsid w:val="5D7B3681"/>
    <w:rsid w:val="5DC46A0F"/>
    <w:rsid w:val="5DCF7EED"/>
    <w:rsid w:val="5DF186D8"/>
    <w:rsid w:val="5E03BB2D"/>
    <w:rsid w:val="5E55DFD1"/>
    <w:rsid w:val="5E56FB37"/>
    <w:rsid w:val="5E64A798"/>
    <w:rsid w:val="5E7B3DF5"/>
    <w:rsid w:val="5E857F17"/>
    <w:rsid w:val="5E867B36"/>
    <w:rsid w:val="5EA4F386"/>
    <w:rsid w:val="5F072801"/>
    <w:rsid w:val="5F08F901"/>
    <w:rsid w:val="5F591733"/>
    <w:rsid w:val="5F8EEAD0"/>
    <w:rsid w:val="5FA90F4C"/>
    <w:rsid w:val="5FB5B3FB"/>
    <w:rsid w:val="5FF58E1F"/>
    <w:rsid w:val="6034A475"/>
    <w:rsid w:val="60351447"/>
    <w:rsid w:val="60450BE7"/>
    <w:rsid w:val="609C0555"/>
    <w:rsid w:val="60AA4E70"/>
    <w:rsid w:val="60CF913D"/>
    <w:rsid w:val="6118516A"/>
    <w:rsid w:val="613D63F6"/>
    <w:rsid w:val="61D3F4EE"/>
    <w:rsid w:val="62152D37"/>
    <w:rsid w:val="625073D4"/>
    <w:rsid w:val="6293DDD4"/>
    <w:rsid w:val="62A576AA"/>
    <w:rsid w:val="62BE6995"/>
    <w:rsid w:val="62EA0A87"/>
    <w:rsid w:val="62F4CB8E"/>
    <w:rsid w:val="6326E085"/>
    <w:rsid w:val="6332C357"/>
    <w:rsid w:val="635994EB"/>
    <w:rsid w:val="6360FEAD"/>
    <w:rsid w:val="63D31140"/>
    <w:rsid w:val="63F7D01F"/>
    <w:rsid w:val="640C4D7B"/>
    <w:rsid w:val="64571569"/>
    <w:rsid w:val="645EF4BB"/>
    <w:rsid w:val="6462F83B"/>
    <w:rsid w:val="648957EF"/>
    <w:rsid w:val="64AD775F"/>
    <w:rsid w:val="64B89851"/>
    <w:rsid w:val="64F877CB"/>
    <w:rsid w:val="65144F25"/>
    <w:rsid w:val="6516A969"/>
    <w:rsid w:val="651D67FF"/>
    <w:rsid w:val="65DC1CE2"/>
    <w:rsid w:val="65FED756"/>
    <w:rsid w:val="662661D8"/>
    <w:rsid w:val="6640D8ED"/>
    <w:rsid w:val="667EBEAD"/>
    <w:rsid w:val="66A5512D"/>
    <w:rsid w:val="66D76624"/>
    <w:rsid w:val="66D886E0"/>
    <w:rsid w:val="6701EDF5"/>
    <w:rsid w:val="6702EA14"/>
    <w:rsid w:val="6717459E"/>
    <w:rsid w:val="672213F7"/>
    <w:rsid w:val="674705A7"/>
    <w:rsid w:val="67553D67"/>
    <w:rsid w:val="6765D88C"/>
    <w:rsid w:val="678E1EB3"/>
    <w:rsid w:val="679DC788"/>
    <w:rsid w:val="67DFFBF0"/>
    <w:rsid w:val="67F3EA80"/>
    <w:rsid w:val="680401FA"/>
    <w:rsid w:val="68257E2A"/>
    <w:rsid w:val="6825C4AF"/>
    <w:rsid w:val="6874CA1C"/>
    <w:rsid w:val="687EC26F"/>
    <w:rsid w:val="68915615"/>
    <w:rsid w:val="68B06586"/>
    <w:rsid w:val="68F754B3"/>
    <w:rsid w:val="68FF4E77"/>
    <w:rsid w:val="690A2DB9"/>
    <w:rsid w:val="69187433"/>
    <w:rsid w:val="6926BD4E"/>
    <w:rsid w:val="693CBAE1"/>
    <w:rsid w:val="695F3EC3"/>
    <w:rsid w:val="6970D108"/>
    <w:rsid w:val="69C57C70"/>
    <w:rsid w:val="69D328D1"/>
    <w:rsid w:val="69E18B95"/>
    <w:rsid w:val="69F40050"/>
    <w:rsid w:val="69F8113B"/>
    <w:rsid w:val="6A0396A7"/>
    <w:rsid w:val="6A5063CC"/>
    <w:rsid w:val="6ABAE6AE"/>
    <w:rsid w:val="6AEE533E"/>
    <w:rsid w:val="6B81794E"/>
    <w:rsid w:val="6BA325AE"/>
    <w:rsid w:val="6BC42441"/>
    <w:rsid w:val="6C27C02A"/>
    <w:rsid w:val="6C8C4A78"/>
    <w:rsid w:val="6C8D53D0"/>
    <w:rsid w:val="6C924BFE"/>
    <w:rsid w:val="6C9458EB"/>
    <w:rsid w:val="6CD5A621"/>
    <w:rsid w:val="6CDB6399"/>
    <w:rsid w:val="6D1EFCFD"/>
    <w:rsid w:val="6D7CFC92"/>
    <w:rsid w:val="6DACA482"/>
    <w:rsid w:val="6DD80F36"/>
    <w:rsid w:val="6DD8A55F"/>
    <w:rsid w:val="6E08A420"/>
    <w:rsid w:val="6E09A2E0"/>
    <w:rsid w:val="6E2B2802"/>
    <w:rsid w:val="6E615898"/>
    <w:rsid w:val="6E6E4DF1"/>
    <w:rsid w:val="6ECF7FE6"/>
    <w:rsid w:val="6F0AE204"/>
    <w:rsid w:val="6F2CC135"/>
    <w:rsid w:val="6FC3A756"/>
    <w:rsid w:val="6FD5D55A"/>
    <w:rsid w:val="6FDC35F1"/>
    <w:rsid w:val="700A8D91"/>
    <w:rsid w:val="706E3285"/>
    <w:rsid w:val="70821A9A"/>
    <w:rsid w:val="7082D05E"/>
    <w:rsid w:val="709CFF72"/>
    <w:rsid w:val="70D7D8FF"/>
    <w:rsid w:val="70FBC32C"/>
    <w:rsid w:val="714E80C4"/>
    <w:rsid w:val="717C5327"/>
    <w:rsid w:val="71869C97"/>
    <w:rsid w:val="719473D2"/>
    <w:rsid w:val="7194C790"/>
    <w:rsid w:val="7194E311"/>
    <w:rsid w:val="71967F14"/>
    <w:rsid w:val="7216A6FB"/>
    <w:rsid w:val="721CA881"/>
    <w:rsid w:val="72525CD7"/>
    <w:rsid w:val="725DE0CA"/>
    <w:rsid w:val="72BD92B2"/>
    <w:rsid w:val="72E9EB83"/>
    <w:rsid w:val="72F56EAD"/>
    <w:rsid w:val="730E0AF3"/>
    <w:rsid w:val="73626BB9"/>
    <w:rsid w:val="73728333"/>
    <w:rsid w:val="7374E2B9"/>
    <w:rsid w:val="7384F46B"/>
    <w:rsid w:val="73A56A6A"/>
    <w:rsid w:val="73B7738E"/>
    <w:rsid w:val="73E34B55"/>
    <w:rsid w:val="73EFBB36"/>
    <w:rsid w:val="740D7BB8"/>
    <w:rsid w:val="742D2D39"/>
    <w:rsid w:val="7459DC69"/>
    <w:rsid w:val="745F6AEA"/>
    <w:rsid w:val="7460B921"/>
    <w:rsid w:val="74848DEF"/>
    <w:rsid w:val="7486F56C"/>
    <w:rsid w:val="74917FE1"/>
    <w:rsid w:val="7508B956"/>
    <w:rsid w:val="75112C70"/>
    <w:rsid w:val="754A3851"/>
    <w:rsid w:val="756031DD"/>
    <w:rsid w:val="7582A78B"/>
    <w:rsid w:val="7582B57C"/>
    <w:rsid w:val="75A3C23E"/>
    <w:rsid w:val="75A4C184"/>
    <w:rsid w:val="75A7993B"/>
    <w:rsid w:val="75FCB2AE"/>
    <w:rsid w:val="75FF4C09"/>
    <w:rsid w:val="7647A694"/>
    <w:rsid w:val="765ED2C3"/>
    <w:rsid w:val="766F156B"/>
    <w:rsid w:val="76B92925"/>
    <w:rsid w:val="76EC8DCF"/>
    <w:rsid w:val="7710F91A"/>
    <w:rsid w:val="7711D09C"/>
    <w:rsid w:val="77165091"/>
    <w:rsid w:val="772D88AF"/>
    <w:rsid w:val="77324E0C"/>
    <w:rsid w:val="777AA3CA"/>
    <w:rsid w:val="777AD69B"/>
    <w:rsid w:val="777E9868"/>
    <w:rsid w:val="77ACF6B0"/>
    <w:rsid w:val="782D343C"/>
    <w:rsid w:val="7839170E"/>
    <w:rsid w:val="78524438"/>
    <w:rsid w:val="785FE8A2"/>
    <w:rsid w:val="7867A357"/>
    <w:rsid w:val="78744806"/>
    <w:rsid w:val="78E1018A"/>
    <w:rsid w:val="7931BF2B"/>
    <w:rsid w:val="79355693"/>
    <w:rsid w:val="793AE7DF"/>
    <w:rsid w:val="796127C6"/>
    <w:rsid w:val="796ABC97"/>
    <w:rsid w:val="79701847"/>
    <w:rsid w:val="7A184356"/>
    <w:rsid w:val="7A44DDD7"/>
    <w:rsid w:val="7A4E0E01"/>
    <w:rsid w:val="7A82F80E"/>
    <w:rsid w:val="7A9DAC7B"/>
    <w:rsid w:val="7AB1DFE5"/>
    <w:rsid w:val="7AD53833"/>
    <w:rsid w:val="7AECDE0C"/>
    <w:rsid w:val="7B0235B5"/>
    <w:rsid w:val="7B074D2A"/>
    <w:rsid w:val="7B165825"/>
    <w:rsid w:val="7B1FABD8"/>
    <w:rsid w:val="7B383C23"/>
    <w:rsid w:val="7B58F2DE"/>
    <w:rsid w:val="7BA386F1"/>
    <w:rsid w:val="7BDDB9DB"/>
    <w:rsid w:val="7C2867AE"/>
    <w:rsid w:val="7C4C3C7C"/>
    <w:rsid w:val="7C7C78FD"/>
    <w:rsid w:val="7CD69C3A"/>
    <w:rsid w:val="7CDC0C99"/>
    <w:rsid w:val="7CFE438F"/>
    <w:rsid w:val="7D50C391"/>
    <w:rsid w:val="7D85174B"/>
    <w:rsid w:val="7D8D54C9"/>
    <w:rsid w:val="7DB790BF"/>
    <w:rsid w:val="7DD2923D"/>
    <w:rsid w:val="7DDCA0BB"/>
    <w:rsid w:val="7DED1244"/>
    <w:rsid w:val="7E1158F2"/>
    <w:rsid w:val="7E7E8806"/>
    <w:rsid w:val="7ECFCC36"/>
    <w:rsid w:val="7ED7AB88"/>
    <w:rsid w:val="7F090C61"/>
    <w:rsid w:val="7F31DED1"/>
    <w:rsid w:val="7F359803"/>
    <w:rsid w:val="7F3CFB4A"/>
    <w:rsid w:val="7F9BAE72"/>
    <w:rsid w:val="7FAF1458"/>
    <w:rsid w:val="7FB6779F"/>
    <w:rsid w:val="7FC85DA2"/>
    <w:rsid w:val="7FD8ED4D"/>
    <w:rsid w:val="7FDCE6BB"/>
    <w:rsid w:val="7FF05516"/>
    <w:rsid w:val="7FF3FCFF"/>
    <w:rsid w:val="7FF5076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203DD"/>
  <w15:chartTrackingRefBased/>
  <w15:docId w15:val="{741C566B-A221-4E30-9F42-199DE043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32"/>
    <w:pPr>
      <w:widowControl w:val="0"/>
      <w:autoSpaceDE w:val="0"/>
      <w:autoSpaceDN w:val="0"/>
      <w:spacing w:after="0" w:line="240" w:lineRule="auto"/>
    </w:pPr>
    <w:rPr>
      <w:rFonts w:ascii="Montserrat" w:eastAsia="Montserrat" w:hAnsi="Montserrat" w:cs="Montserra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13032"/>
    <w:pPr>
      <w:widowControl/>
      <w:tabs>
        <w:tab w:val="center" w:pos="4536"/>
        <w:tab w:val="right" w:pos="9072"/>
      </w:tabs>
      <w:autoSpaceDE/>
      <w:autoSpaceDN/>
    </w:pPr>
    <w:rPr>
      <w:rFonts w:asciiTheme="minorHAnsi" w:eastAsiaTheme="minorHAnsi" w:hAnsiTheme="minorHAnsi" w:cstheme="minorBidi"/>
    </w:rPr>
  </w:style>
  <w:style w:type="character" w:customStyle="1" w:styleId="CabealhoCarter">
    <w:name w:val="Cabeçalho Caráter"/>
    <w:basedOn w:val="Tipodeletrapredefinidodopargrafo"/>
    <w:link w:val="Cabealho"/>
    <w:uiPriority w:val="99"/>
    <w:rsid w:val="00213032"/>
  </w:style>
  <w:style w:type="paragraph" w:styleId="Rodap">
    <w:name w:val="footer"/>
    <w:basedOn w:val="Normal"/>
    <w:link w:val="RodapCarter"/>
    <w:uiPriority w:val="99"/>
    <w:unhideWhenUsed/>
    <w:rsid w:val="00213032"/>
    <w:pPr>
      <w:widowControl/>
      <w:tabs>
        <w:tab w:val="center" w:pos="4536"/>
        <w:tab w:val="right" w:pos="9072"/>
      </w:tabs>
      <w:autoSpaceDE/>
      <w:autoSpaceDN/>
    </w:pPr>
    <w:rPr>
      <w:rFonts w:asciiTheme="minorHAnsi" w:eastAsiaTheme="minorHAnsi" w:hAnsiTheme="minorHAnsi" w:cstheme="minorBidi"/>
    </w:rPr>
  </w:style>
  <w:style w:type="character" w:customStyle="1" w:styleId="RodapCarter">
    <w:name w:val="Rodapé Caráter"/>
    <w:basedOn w:val="Tipodeletrapredefinidodopargrafo"/>
    <w:link w:val="Rodap"/>
    <w:uiPriority w:val="99"/>
    <w:rsid w:val="00213032"/>
  </w:style>
  <w:style w:type="paragraph" w:styleId="Textodenotaderodap">
    <w:name w:val="footnote text"/>
    <w:basedOn w:val="Normal"/>
    <w:link w:val="TextodenotaderodapCarter"/>
    <w:uiPriority w:val="99"/>
    <w:unhideWhenUsed/>
    <w:rsid w:val="00647B4A"/>
    <w:rPr>
      <w:sz w:val="20"/>
      <w:szCs w:val="20"/>
    </w:rPr>
  </w:style>
  <w:style w:type="character" w:customStyle="1" w:styleId="TextodenotaderodapCarter">
    <w:name w:val="Texto de nota de rodapé Caráter"/>
    <w:basedOn w:val="Tipodeletrapredefinidodopargrafo"/>
    <w:link w:val="Textodenotaderodap"/>
    <w:uiPriority w:val="99"/>
    <w:rsid w:val="00647B4A"/>
    <w:rPr>
      <w:rFonts w:ascii="Montserrat" w:eastAsia="Montserrat" w:hAnsi="Montserrat" w:cs="Montserrat"/>
      <w:sz w:val="20"/>
      <w:szCs w:val="20"/>
    </w:rPr>
  </w:style>
  <w:style w:type="character" w:styleId="Refdenotaderodap">
    <w:name w:val="footnote reference"/>
    <w:basedOn w:val="Tipodeletrapredefinidodopargrafo"/>
    <w:uiPriority w:val="99"/>
    <w:unhideWhenUsed/>
    <w:rsid w:val="00647B4A"/>
    <w:rPr>
      <w:vertAlign w:val="superscript"/>
    </w:rPr>
  </w:style>
  <w:style w:type="character" w:styleId="Hiperligao">
    <w:name w:val="Hyperlink"/>
    <w:basedOn w:val="Tipodeletrapredefinidodopargrafo"/>
    <w:uiPriority w:val="99"/>
    <w:unhideWhenUsed/>
    <w:rsid w:val="00880D43"/>
    <w:rPr>
      <w:color w:val="0563C1" w:themeColor="hyperlink"/>
      <w:u w:val="single"/>
    </w:rPr>
  </w:style>
  <w:style w:type="paragraph" w:styleId="PargrafodaLista">
    <w:name w:val="List Paragraph"/>
    <w:aliases w:val="Rozdział Pegaz,List Paragraph3,lp1,Preambuła,1 Akapit z listą,Akapit z listą2"/>
    <w:basedOn w:val="Normal"/>
    <w:link w:val="PargrafodaListaCarter"/>
    <w:uiPriority w:val="34"/>
    <w:qFormat/>
    <w:rsid w:val="00880D43"/>
    <w:pPr>
      <w:ind w:left="720"/>
      <w:contextualSpacing/>
    </w:pPr>
  </w:style>
  <w:style w:type="character" w:customStyle="1" w:styleId="PargrafodaListaCarter">
    <w:name w:val="Parágrafo da Lista Caráter"/>
    <w:aliases w:val="Rozdział Pegaz Caráter,List Paragraph3 Caráter,lp1 Caráter,Preambuła Caráter,1 Akapit z listą Caráter,Akapit z listą2 Caráter"/>
    <w:link w:val="PargrafodaLista"/>
    <w:uiPriority w:val="34"/>
    <w:rsid w:val="00880D43"/>
    <w:rPr>
      <w:rFonts w:ascii="Montserrat" w:eastAsia="Montserrat" w:hAnsi="Montserrat" w:cs="Montserrat"/>
    </w:rPr>
  </w:style>
  <w:style w:type="character" w:styleId="Refdecomentrio">
    <w:name w:val="annotation reference"/>
    <w:basedOn w:val="Tipodeletrapredefinidodopargrafo"/>
    <w:uiPriority w:val="99"/>
    <w:semiHidden/>
    <w:unhideWhenUsed/>
    <w:rsid w:val="00880D43"/>
    <w:rPr>
      <w:sz w:val="16"/>
      <w:szCs w:val="16"/>
    </w:rPr>
  </w:style>
  <w:style w:type="paragraph" w:styleId="Textodecomentrio">
    <w:name w:val="annotation text"/>
    <w:basedOn w:val="Normal"/>
    <w:link w:val="TextodecomentrioCarter"/>
    <w:uiPriority w:val="99"/>
    <w:semiHidden/>
    <w:unhideWhenUsed/>
    <w:rsid w:val="00880D43"/>
    <w:rPr>
      <w:sz w:val="20"/>
      <w:szCs w:val="20"/>
    </w:rPr>
  </w:style>
  <w:style w:type="character" w:customStyle="1" w:styleId="TextodecomentrioCarter">
    <w:name w:val="Texto de comentário Caráter"/>
    <w:basedOn w:val="Tipodeletrapredefinidodopargrafo"/>
    <w:link w:val="Textodecomentrio"/>
    <w:uiPriority w:val="99"/>
    <w:semiHidden/>
    <w:rsid w:val="00880D43"/>
    <w:rPr>
      <w:rFonts w:ascii="Montserrat" w:eastAsia="Montserrat" w:hAnsi="Montserrat" w:cs="Montserrat"/>
      <w:sz w:val="20"/>
      <w:szCs w:val="20"/>
    </w:rPr>
  </w:style>
  <w:style w:type="paragraph" w:styleId="Assuntodecomentrio">
    <w:name w:val="annotation subject"/>
    <w:basedOn w:val="Textodecomentrio"/>
    <w:next w:val="Textodecomentrio"/>
    <w:link w:val="AssuntodecomentrioCarter"/>
    <w:uiPriority w:val="99"/>
    <w:semiHidden/>
    <w:unhideWhenUsed/>
    <w:rsid w:val="000116F0"/>
    <w:rPr>
      <w:b/>
      <w:bCs/>
    </w:rPr>
  </w:style>
  <w:style w:type="character" w:customStyle="1" w:styleId="AssuntodecomentrioCarter">
    <w:name w:val="Assunto de comentário Caráter"/>
    <w:basedOn w:val="TextodecomentrioCarter"/>
    <w:link w:val="Assuntodecomentrio"/>
    <w:uiPriority w:val="99"/>
    <w:semiHidden/>
    <w:rsid w:val="000116F0"/>
    <w:rPr>
      <w:rFonts w:ascii="Montserrat" w:eastAsia="Montserrat" w:hAnsi="Montserrat" w:cs="Montserrat"/>
      <w:b/>
      <w:bCs/>
      <w:sz w:val="20"/>
      <w:szCs w:val="20"/>
    </w:rPr>
  </w:style>
  <w:style w:type="character" w:styleId="MenoNoResolvida">
    <w:name w:val="Unresolved Mention"/>
    <w:basedOn w:val="Tipodeletrapredefinidodopargrafo"/>
    <w:uiPriority w:val="99"/>
    <w:unhideWhenUsed/>
    <w:rsid w:val="000116F0"/>
    <w:rPr>
      <w:color w:val="605E5C"/>
      <w:shd w:val="clear" w:color="auto" w:fill="E1DFDD"/>
    </w:rPr>
  </w:style>
  <w:style w:type="character" w:styleId="Mencionar">
    <w:name w:val="Mention"/>
    <w:basedOn w:val="Tipodeletrapredefinidodopargrafo"/>
    <w:uiPriority w:val="99"/>
    <w:unhideWhenUsed/>
    <w:rsid w:val="000116F0"/>
    <w:rPr>
      <w:color w:val="2B579A"/>
      <w:shd w:val="clear" w:color="auto" w:fill="E1DFDD"/>
    </w:rPr>
  </w:style>
  <w:style w:type="table" w:styleId="TabelacomGrelha">
    <w:name w:val="Table Grid"/>
    <w:basedOn w:val="Tabelanormal"/>
    <w:uiPriority w:val="59"/>
    <w:rsid w:val="00071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Tipodeletrapredefinidodopargrafo"/>
    <w:rsid w:val="00E4766F"/>
  </w:style>
  <w:style w:type="character" w:customStyle="1" w:styleId="eop">
    <w:name w:val="eop"/>
    <w:basedOn w:val="Tipodeletrapredefinidodopargrafo"/>
    <w:rsid w:val="00E4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7895">
      <w:bodyDiv w:val="1"/>
      <w:marLeft w:val="0"/>
      <w:marRight w:val="0"/>
      <w:marTop w:val="0"/>
      <w:marBottom w:val="0"/>
      <w:divBdr>
        <w:top w:val="none" w:sz="0" w:space="0" w:color="auto"/>
        <w:left w:val="none" w:sz="0" w:space="0" w:color="auto"/>
        <w:bottom w:val="none" w:sz="0" w:space="0" w:color="auto"/>
        <w:right w:val="none" w:sz="0" w:space="0" w:color="auto"/>
      </w:divBdr>
    </w:div>
    <w:div w:id="1031684841">
      <w:bodyDiv w:val="1"/>
      <w:marLeft w:val="0"/>
      <w:marRight w:val="0"/>
      <w:marTop w:val="0"/>
      <w:marBottom w:val="0"/>
      <w:divBdr>
        <w:top w:val="none" w:sz="0" w:space="0" w:color="auto"/>
        <w:left w:val="none" w:sz="0" w:space="0" w:color="auto"/>
        <w:bottom w:val="none" w:sz="0" w:space="0" w:color="auto"/>
        <w:right w:val="none" w:sz="0" w:space="0" w:color="auto"/>
      </w:divBdr>
      <w:divsChild>
        <w:div w:id="1341348011">
          <w:marLeft w:val="274"/>
          <w:marRight w:val="0"/>
          <w:marTop w:val="0"/>
          <w:marBottom w:val="60"/>
          <w:divBdr>
            <w:top w:val="none" w:sz="0" w:space="0" w:color="auto"/>
            <w:left w:val="none" w:sz="0" w:space="0" w:color="auto"/>
            <w:bottom w:val="none" w:sz="0" w:space="0" w:color="auto"/>
            <w:right w:val="none" w:sz="0" w:space="0" w:color="auto"/>
          </w:divBdr>
        </w:div>
      </w:divsChild>
    </w:div>
    <w:div w:id="19737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post.eu/invest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asting.brrmedia.co.uk/broadcast/6225e488969a0548ac0c34b1" TargetMode="External"/><Relationship Id="rId5" Type="http://schemas.openxmlformats.org/officeDocument/2006/relationships/numbering" Target="numbering.xml"/><Relationship Id="rId15" Type="http://schemas.openxmlformats.org/officeDocument/2006/relationships/hyperlink" Target="mailto:mharris@inpost.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B05DAF59184AA07EF903F0E8793C" ma:contentTypeVersion="8" ma:contentTypeDescription="Create a new document." ma:contentTypeScope="" ma:versionID="27decdfb65c34121e8379ad60fd226bb">
  <xsd:schema xmlns:xsd="http://www.w3.org/2001/XMLSchema" xmlns:xs="http://www.w3.org/2001/XMLSchema" xmlns:p="http://schemas.microsoft.com/office/2006/metadata/properties" xmlns:ns2="15b024f2-d001-49ad-a64c-7d5ba9e06acc" targetNamespace="http://schemas.microsoft.com/office/2006/metadata/properties" ma:root="true" ma:fieldsID="a47638a1a1fb52df27aa83c635a88361" ns2:_="">
    <xsd:import namespace="15b024f2-d001-49ad-a64c-7d5ba9e06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024f2-d001-49ad-a64c-7d5ba9e06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2C8A4-FC0B-4A66-99D1-7CFE5E2E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024f2-d001-49ad-a64c-7d5ba9e06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1721B-297C-44C0-B63D-C9341EF69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2C0CA-48D5-4089-A435-19270B3521CB}">
  <ds:schemaRefs>
    <ds:schemaRef ds:uri="http://schemas.openxmlformats.org/officeDocument/2006/bibliography"/>
  </ds:schemaRefs>
</ds:datastoreItem>
</file>

<file path=customXml/itemProps4.xml><?xml version="1.0" encoding="utf-8"?>
<ds:datastoreItem xmlns:ds="http://schemas.openxmlformats.org/officeDocument/2006/customXml" ds:itemID="{90D25CF2-7312-4534-8A34-AFEB91A0D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13</Pages>
  <Words>5275</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33699</CharactersWithSpaces>
  <SharedDoc>false</SharedDoc>
  <HLinks>
    <vt:vector size="18" baseType="variant">
      <vt:variant>
        <vt:i4>6160489</vt:i4>
      </vt:variant>
      <vt:variant>
        <vt:i4>6</vt:i4>
      </vt:variant>
      <vt:variant>
        <vt:i4>0</vt:i4>
      </vt:variant>
      <vt:variant>
        <vt:i4>5</vt:i4>
      </vt:variant>
      <vt:variant>
        <vt:lpwstr>mailto:mharris@inpost.eu</vt:lpwstr>
      </vt:variant>
      <vt:variant>
        <vt:lpwstr/>
      </vt:variant>
      <vt:variant>
        <vt:i4>3276862</vt:i4>
      </vt:variant>
      <vt:variant>
        <vt:i4>3</vt:i4>
      </vt:variant>
      <vt:variant>
        <vt:i4>0</vt:i4>
      </vt:variant>
      <vt:variant>
        <vt:i4>5</vt:i4>
      </vt:variant>
      <vt:variant>
        <vt:lpwstr>https://eur02.safelinks.protection.outlook.com/?url=http%3A%2F%2Fwww.inpost.eu%2Finvestors&amp;data=04%7C01%7Cmzareba%40inpost.pl%7C91e8ce4abe2048fcef2a08da10ab91c9%7C4accae757b724994b3affd3e713e0edb%7C1%7C0%7C637840626327150655%7CUnknown%7CTWFpbGZsb3d8eyJWIjoiMC4wLjAwMDAiLCJQIjoiV2luMzIiLCJBTiI6Ik1haWwiLCJXVCI6Mn0%3D%7C3000&amp;sdata=leOMx7dB0PQ0%2FnegUC6Z1bV6%2Fy4xVVrPZgJMEd7ZDEQ%3D&amp;reserved=0</vt:lpwstr>
      </vt:variant>
      <vt:variant>
        <vt:lpwstr/>
      </vt:variant>
      <vt:variant>
        <vt:i4>1376285</vt:i4>
      </vt:variant>
      <vt:variant>
        <vt:i4>0</vt:i4>
      </vt:variant>
      <vt:variant>
        <vt:i4>0</vt:i4>
      </vt:variant>
      <vt:variant>
        <vt:i4>5</vt:i4>
      </vt:variant>
      <vt:variant>
        <vt:lpwstr>https://webcasting.brrmedia.co.uk/broadcast/6225e488969a0548ac0c34b1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AEMpress</dc:creator>
  <cp:keywords/>
  <dc:description/>
  <cp:lastModifiedBy>António Eduardo Marques</cp:lastModifiedBy>
  <cp:revision>32</cp:revision>
  <dcterms:created xsi:type="dcterms:W3CDTF">2022-03-30T16:56:00Z</dcterms:created>
  <dcterms:modified xsi:type="dcterms:W3CDTF">2022-03-31T09:53:00Z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0x0101009260B05DAF59184AA07EF903F0E8793C</vt:lpwstr>
  </property>
</Properties>
</file>